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6C" w:rsidRPr="00494FA9" w:rsidRDefault="00310D6C" w:rsidP="009E3612">
      <w:pPr>
        <w:rPr>
          <w:b/>
          <w:sz w:val="28"/>
          <w:szCs w:val="28"/>
        </w:rPr>
      </w:pPr>
    </w:p>
    <w:p w:rsidR="009E3612" w:rsidRPr="00494FA9" w:rsidRDefault="009E3612" w:rsidP="009E3612">
      <w:pPr>
        <w:rPr>
          <w:b/>
          <w:sz w:val="28"/>
          <w:szCs w:val="28"/>
        </w:rPr>
      </w:pPr>
      <w:r w:rsidRPr="00494FA9">
        <w:rPr>
          <w:b/>
          <w:sz w:val="28"/>
          <w:szCs w:val="28"/>
        </w:rPr>
        <w:t xml:space="preserve">Grant Scheme </w:t>
      </w:r>
      <w:r w:rsidR="00310D6C" w:rsidRPr="00494FA9">
        <w:rPr>
          <w:b/>
          <w:sz w:val="28"/>
          <w:szCs w:val="28"/>
        </w:rPr>
        <w:t xml:space="preserve">to facilitate the participation of </w:t>
      </w:r>
      <w:proofErr w:type="spellStart"/>
      <w:r w:rsidR="00310D6C" w:rsidRPr="00494FA9">
        <w:rPr>
          <w:b/>
          <w:sz w:val="28"/>
          <w:szCs w:val="28"/>
        </w:rPr>
        <w:t>EaP</w:t>
      </w:r>
      <w:proofErr w:type="spellEnd"/>
      <w:r w:rsidR="00310D6C" w:rsidRPr="00494FA9">
        <w:rPr>
          <w:b/>
          <w:sz w:val="28"/>
          <w:szCs w:val="28"/>
        </w:rPr>
        <w:t xml:space="preserve"> countries in Brokerage Events</w:t>
      </w:r>
    </w:p>
    <w:p w:rsidR="009E3612" w:rsidRPr="00494FA9" w:rsidRDefault="009E3612" w:rsidP="009E3612"/>
    <w:p w:rsidR="009E3612" w:rsidRPr="00494FA9" w:rsidRDefault="009E3612" w:rsidP="009E3612">
      <w:pPr>
        <w:rPr>
          <w:b/>
          <w:bCs/>
          <w:sz w:val="28"/>
          <w:szCs w:val="28"/>
        </w:rPr>
      </w:pPr>
      <w:bookmarkStart w:id="0" w:name="_Toc253744385"/>
      <w:bookmarkStart w:id="1" w:name="_Toc257625832"/>
      <w:r w:rsidRPr="00494FA9">
        <w:rPr>
          <w:b/>
          <w:bCs/>
          <w:sz w:val="28"/>
          <w:szCs w:val="28"/>
        </w:rPr>
        <w:t>Guidelines</w:t>
      </w:r>
      <w:bookmarkEnd w:id="0"/>
      <w:bookmarkEnd w:id="1"/>
      <w:r w:rsidRPr="00494FA9">
        <w:rPr>
          <w:b/>
          <w:bCs/>
          <w:sz w:val="28"/>
          <w:szCs w:val="28"/>
        </w:rPr>
        <w:t xml:space="preserve"> for Applicants</w:t>
      </w:r>
    </w:p>
    <w:p w:rsidR="009E3612" w:rsidRPr="00494FA9" w:rsidRDefault="009E3612" w:rsidP="009E3612">
      <w:pPr>
        <w:spacing w:line="360" w:lineRule="auto"/>
      </w:pPr>
    </w:p>
    <w:p w:rsidR="009E3612" w:rsidRPr="00494FA9" w:rsidRDefault="009E3612" w:rsidP="009E3612">
      <w:pPr>
        <w:spacing w:line="360" w:lineRule="auto"/>
      </w:pPr>
      <w:r w:rsidRPr="00494FA9">
        <w:rPr>
          <w:b/>
          <w:u w:val="single"/>
        </w:rPr>
        <w:t>Eligibility criteria</w:t>
      </w:r>
    </w:p>
    <w:p w:rsidR="009E3612" w:rsidRPr="00494FA9" w:rsidRDefault="009E3612" w:rsidP="009E3612">
      <w:pPr>
        <w:spacing w:line="360" w:lineRule="auto"/>
      </w:pPr>
      <w:r w:rsidRPr="00494FA9">
        <w:t xml:space="preserve">These criteria </w:t>
      </w:r>
      <w:r w:rsidRPr="00494FA9">
        <w:rPr>
          <w:b/>
        </w:rPr>
        <w:t>have to be met</w:t>
      </w:r>
      <w:r w:rsidRPr="00494FA9">
        <w:t xml:space="preserve"> in order to be eligible for participation.</w:t>
      </w:r>
    </w:p>
    <w:p w:rsidR="009E3612" w:rsidRPr="00494FA9" w:rsidRDefault="009E3612" w:rsidP="009E3612">
      <w:pPr>
        <w:numPr>
          <w:ilvl w:val="0"/>
          <w:numId w:val="2"/>
        </w:numPr>
        <w:tabs>
          <w:tab w:val="num" w:pos="720"/>
        </w:tabs>
        <w:spacing w:before="0" w:line="360" w:lineRule="auto"/>
      </w:pPr>
      <w:r w:rsidRPr="00494FA9">
        <w:t xml:space="preserve">Be a member or an employee of a research institution/organization and/or of a network of organizations and/or of a higher education institution and/or of an SME-enterprise working on research. The aim is that the participation will have a multiplier effect in the country and/or region. </w:t>
      </w:r>
    </w:p>
    <w:p w:rsidR="009E3612" w:rsidRPr="00494FA9" w:rsidRDefault="009E3612" w:rsidP="00310D6C">
      <w:pPr>
        <w:numPr>
          <w:ilvl w:val="0"/>
          <w:numId w:val="2"/>
        </w:numPr>
        <w:tabs>
          <w:tab w:val="num" w:pos="720"/>
        </w:tabs>
        <w:spacing w:before="0" w:line="360" w:lineRule="auto"/>
      </w:pPr>
      <w:r w:rsidRPr="00494FA9">
        <w:t>Conduct research in one of the par</w:t>
      </w:r>
      <w:r w:rsidR="00CB0CC3" w:rsidRPr="00494FA9">
        <w:t>tner countries (AR, AZ, BY, GE,</w:t>
      </w:r>
      <w:r w:rsidR="00310D6C" w:rsidRPr="00494FA9">
        <w:t xml:space="preserve"> </w:t>
      </w:r>
      <w:r w:rsidR="00CB0CC3" w:rsidRPr="00494FA9">
        <w:t>MO,</w:t>
      </w:r>
      <w:r w:rsidR="00310D6C" w:rsidRPr="00494FA9">
        <w:t xml:space="preserve"> </w:t>
      </w:r>
      <w:r w:rsidRPr="00494FA9">
        <w:t>UA)</w:t>
      </w:r>
    </w:p>
    <w:p w:rsidR="009E3612" w:rsidRPr="00494FA9" w:rsidRDefault="009E3612" w:rsidP="009E3612">
      <w:pPr>
        <w:numPr>
          <w:ilvl w:val="0"/>
          <w:numId w:val="2"/>
        </w:numPr>
        <w:tabs>
          <w:tab w:val="num" w:pos="720"/>
        </w:tabs>
        <w:spacing w:before="0" w:line="360" w:lineRule="auto"/>
      </w:pPr>
      <w:r w:rsidRPr="00494FA9">
        <w:t>Submit a completely filled in application form along with all the required documentation.</w:t>
      </w:r>
    </w:p>
    <w:p w:rsidR="009E3612" w:rsidRPr="00494FA9" w:rsidRDefault="009E3612" w:rsidP="009E3612">
      <w:pPr>
        <w:numPr>
          <w:ilvl w:val="0"/>
          <w:numId w:val="2"/>
        </w:numPr>
        <w:tabs>
          <w:tab w:val="num" w:pos="720"/>
        </w:tabs>
        <w:spacing w:before="0" w:line="360" w:lineRule="auto"/>
      </w:pPr>
      <w:r w:rsidRPr="00494FA9">
        <w:t>Have a PhD degree and/or at least three years’ full time experience in research.</w:t>
      </w:r>
    </w:p>
    <w:p w:rsidR="009E3612" w:rsidRPr="00494FA9" w:rsidRDefault="009E3612" w:rsidP="009E3612">
      <w:pPr>
        <w:numPr>
          <w:ilvl w:val="0"/>
          <w:numId w:val="2"/>
        </w:numPr>
        <w:spacing w:before="0" w:line="360" w:lineRule="auto"/>
      </w:pPr>
      <w:r w:rsidRPr="00494FA9">
        <w:t>Carry out research in one of Societal Challenges: Health, Energy or Climate Change.</w:t>
      </w:r>
    </w:p>
    <w:p w:rsidR="009E3612" w:rsidRPr="00494FA9" w:rsidRDefault="009E3612" w:rsidP="009E3612">
      <w:pPr>
        <w:numPr>
          <w:ilvl w:val="0"/>
          <w:numId w:val="2"/>
        </w:numPr>
        <w:spacing w:before="0" w:line="360" w:lineRule="auto"/>
      </w:pPr>
      <w:r w:rsidRPr="00494FA9">
        <w:t>Speaking fluent English.</w:t>
      </w:r>
    </w:p>
    <w:p w:rsidR="009E3612" w:rsidRPr="00494FA9" w:rsidRDefault="009E3612" w:rsidP="009E3612">
      <w:pPr>
        <w:numPr>
          <w:ilvl w:val="0"/>
          <w:numId w:val="2"/>
        </w:numPr>
        <w:spacing w:before="0" w:line="360" w:lineRule="auto"/>
      </w:pPr>
      <w:r w:rsidRPr="00494FA9">
        <w:t>Some international experience (already existing contacts in other countries, participation in previous international conferences and collaborations, etc.).</w:t>
      </w:r>
    </w:p>
    <w:p w:rsidR="00310D6C" w:rsidRPr="00494FA9" w:rsidRDefault="00310D6C" w:rsidP="009E3612">
      <w:pPr>
        <w:numPr>
          <w:ilvl w:val="0"/>
          <w:numId w:val="2"/>
        </w:numPr>
        <w:spacing w:before="0" w:line="360" w:lineRule="auto"/>
      </w:pPr>
      <w:r w:rsidRPr="00494FA9">
        <w:t>Commitment to participate in Horizon2020 calls.</w:t>
      </w:r>
    </w:p>
    <w:p w:rsidR="009E3612" w:rsidRPr="00494FA9" w:rsidRDefault="009E3612" w:rsidP="009E3612">
      <w:pPr>
        <w:spacing w:line="360" w:lineRule="auto"/>
      </w:pPr>
    </w:p>
    <w:p w:rsidR="009E3612" w:rsidRPr="00494FA9" w:rsidRDefault="009E3612" w:rsidP="009E3612">
      <w:pPr>
        <w:spacing w:line="360" w:lineRule="auto"/>
        <w:rPr>
          <w:b/>
          <w:u w:val="single"/>
        </w:rPr>
      </w:pPr>
      <w:r w:rsidRPr="00494FA9">
        <w:rPr>
          <w:b/>
          <w:u w:val="single"/>
        </w:rPr>
        <w:t>Evaluation criteria</w:t>
      </w:r>
    </w:p>
    <w:p w:rsidR="009E3612" w:rsidRPr="00494FA9" w:rsidRDefault="009E3612" w:rsidP="009E3612">
      <w:pPr>
        <w:numPr>
          <w:ilvl w:val="0"/>
          <w:numId w:val="4"/>
        </w:numPr>
        <w:spacing w:before="0" w:line="360" w:lineRule="auto"/>
      </w:pPr>
      <w:r w:rsidRPr="00494FA9">
        <w:t>Scientific excellence/Research performance (publications, patents, project, etc.) (40% of the score)</w:t>
      </w:r>
    </w:p>
    <w:p w:rsidR="009E3612" w:rsidRPr="00494FA9" w:rsidRDefault="009E3612" w:rsidP="009E3612">
      <w:pPr>
        <w:numPr>
          <w:ilvl w:val="0"/>
          <w:numId w:val="4"/>
        </w:numPr>
        <w:spacing w:before="0" w:line="360" w:lineRule="auto"/>
      </w:pPr>
      <w:r w:rsidRPr="00494FA9">
        <w:t>Previous international cooperation activities (projects and/or structured cooperation with other countries; trainings abroad; participation in international conferences, etc.) (20% of the score)</w:t>
      </w:r>
    </w:p>
    <w:p w:rsidR="009E3612" w:rsidRPr="00494FA9" w:rsidRDefault="004E6D87" w:rsidP="009E3612">
      <w:pPr>
        <w:numPr>
          <w:ilvl w:val="0"/>
          <w:numId w:val="4"/>
        </w:numPr>
        <w:spacing w:before="0" w:line="360" w:lineRule="auto"/>
      </w:pPr>
      <w:r w:rsidRPr="00494FA9">
        <w:lastRenderedPageBreak/>
        <w:t>Commitment to participate in a particular Horizon2020 Call</w:t>
      </w:r>
      <w:r w:rsidRPr="00494FA9">
        <w:t xml:space="preserve">, </w:t>
      </w:r>
      <w:r w:rsidR="009E3612" w:rsidRPr="00494FA9">
        <w:t>Commitment to take full advantage of the participation in the event: expected outcome, concrete plans for cooperation</w:t>
      </w:r>
      <w:r w:rsidR="00310D6C" w:rsidRPr="00494FA9">
        <w:t>, participation in Horizon2020 calls</w:t>
      </w:r>
      <w:r w:rsidR="009E3612" w:rsidRPr="00494FA9">
        <w:t xml:space="preserve"> should be described in more detail (40% of the score)</w:t>
      </w:r>
      <w:r w:rsidRPr="00494FA9">
        <w:rPr>
          <w:rFonts w:ascii="Calibri" w:hAnsi="Calibri"/>
          <w:color w:val="1F497D"/>
          <w:sz w:val="22"/>
          <w:szCs w:val="22"/>
          <w:shd w:val="clear" w:color="auto" w:fill="FFFFFF"/>
        </w:rPr>
        <w:t xml:space="preserve"> </w:t>
      </w:r>
    </w:p>
    <w:p w:rsidR="009E3612" w:rsidRPr="00494FA9" w:rsidRDefault="009E3612" w:rsidP="009E3612">
      <w:pPr>
        <w:spacing w:line="360" w:lineRule="auto"/>
        <w:rPr>
          <w:b/>
          <w:u w:val="single"/>
        </w:rPr>
      </w:pPr>
      <w:r w:rsidRPr="00494FA9">
        <w:rPr>
          <w:b/>
          <w:u w:val="single"/>
        </w:rPr>
        <w:t xml:space="preserve">Additional evaluation criteria </w:t>
      </w:r>
    </w:p>
    <w:p w:rsidR="009E3612" w:rsidRPr="00494FA9" w:rsidRDefault="009E3612" w:rsidP="009E3612">
      <w:pPr>
        <w:numPr>
          <w:ilvl w:val="0"/>
          <w:numId w:val="5"/>
        </w:numPr>
        <w:spacing w:before="0" w:line="360" w:lineRule="auto"/>
        <w:ind w:left="283"/>
      </w:pPr>
      <w:r w:rsidRPr="00494FA9">
        <w:t>Gender: Encouragement of female researchers to participate</w:t>
      </w:r>
    </w:p>
    <w:p w:rsidR="009E3612" w:rsidRPr="00494FA9" w:rsidRDefault="009E3612" w:rsidP="009E3612">
      <w:pPr>
        <w:numPr>
          <w:ilvl w:val="0"/>
          <w:numId w:val="5"/>
        </w:numPr>
        <w:spacing w:before="0" w:line="360" w:lineRule="auto"/>
        <w:ind w:left="283"/>
      </w:pPr>
      <w:r w:rsidRPr="00494FA9">
        <w:t xml:space="preserve">Encouragement of young researchers </w:t>
      </w:r>
    </w:p>
    <w:p w:rsidR="009E3612" w:rsidRPr="00494FA9" w:rsidRDefault="009E3612" w:rsidP="009E3612">
      <w:pPr>
        <w:numPr>
          <w:ilvl w:val="0"/>
          <w:numId w:val="5"/>
        </w:numPr>
        <w:spacing w:before="0" w:line="360" w:lineRule="auto"/>
        <w:ind w:left="283"/>
      </w:pPr>
      <w:r w:rsidRPr="00494FA9">
        <w:t>Additional activities planned during the event (e.g. giving a presentation, taking part in a poster session, submitting a partner search profile, scheduling a bilateral meeting etc.)</w:t>
      </w:r>
    </w:p>
    <w:p w:rsidR="009E3612" w:rsidRPr="00494FA9" w:rsidRDefault="009E3612" w:rsidP="009E3612">
      <w:pPr>
        <w:ind w:left="283"/>
      </w:pPr>
      <w:bookmarkStart w:id="2" w:name="_Toc253744386"/>
      <w:bookmarkStart w:id="3" w:name="_Toc257625833"/>
    </w:p>
    <w:bookmarkEnd w:id="2"/>
    <w:bookmarkEnd w:id="3"/>
    <w:p w:rsidR="00CA6943" w:rsidRPr="00494FA9" w:rsidRDefault="00CA6943" w:rsidP="009E3612">
      <w:pPr>
        <w:rPr>
          <w:b/>
          <w:bCs/>
          <w:sz w:val="28"/>
          <w:szCs w:val="28"/>
        </w:rPr>
      </w:pPr>
      <w:r w:rsidRPr="00494FA9">
        <w:rPr>
          <w:b/>
          <w:bCs/>
          <w:sz w:val="28"/>
          <w:szCs w:val="28"/>
        </w:rPr>
        <w:t>Deadline for submission: 1</w:t>
      </w:r>
      <w:r w:rsidRPr="00494FA9">
        <w:rPr>
          <w:b/>
          <w:bCs/>
          <w:sz w:val="28"/>
          <w:szCs w:val="28"/>
          <w:vertAlign w:val="superscript"/>
        </w:rPr>
        <w:t>st</w:t>
      </w:r>
      <w:r w:rsidRPr="00494FA9">
        <w:rPr>
          <w:b/>
          <w:bCs/>
          <w:sz w:val="28"/>
          <w:szCs w:val="28"/>
        </w:rPr>
        <w:t xml:space="preserve"> of </w:t>
      </w:r>
      <w:r w:rsidR="00CB0CC3" w:rsidRPr="00494FA9">
        <w:rPr>
          <w:b/>
          <w:bCs/>
          <w:sz w:val="28"/>
          <w:szCs w:val="28"/>
        </w:rPr>
        <w:t>May</w:t>
      </w:r>
      <w:r w:rsidRPr="00494FA9">
        <w:rPr>
          <w:b/>
          <w:bCs/>
          <w:sz w:val="28"/>
          <w:szCs w:val="28"/>
        </w:rPr>
        <w:t xml:space="preserve"> 2016</w:t>
      </w:r>
    </w:p>
    <w:p w:rsidR="0042415D" w:rsidRPr="00494FA9" w:rsidRDefault="0042415D" w:rsidP="009E3612">
      <w:pPr>
        <w:rPr>
          <w:b/>
          <w:bCs/>
          <w:sz w:val="28"/>
          <w:szCs w:val="28"/>
        </w:rPr>
      </w:pPr>
      <w:r w:rsidRPr="00494FA9">
        <w:rPr>
          <w:b/>
          <w:bCs/>
          <w:sz w:val="28"/>
          <w:szCs w:val="28"/>
        </w:rPr>
        <w:t>Lates</w:t>
      </w:r>
      <w:r w:rsidR="00CB0CC3" w:rsidRPr="00494FA9">
        <w:rPr>
          <w:b/>
          <w:bCs/>
          <w:sz w:val="28"/>
          <w:szCs w:val="28"/>
        </w:rPr>
        <w:t>t date of the selected event: 30</w:t>
      </w:r>
      <w:r w:rsidRPr="00494FA9">
        <w:rPr>
          <w:b/>
          <w:bCs/>
          <w:sz w:val="28"/>
          <w:szCs w:val="28"/>
        </w:rPr>
        <w:t xml:space="preserve"> </w:t>
      </w:r>
      <w:r w:rsidR="00CB0CC3" w:rsidRPr="00494FA9">
        <w:rPr>
          <w:b/>
          <w:bCs/>
          <w:sz w:val="28"/>
          <w:szCs w:val="28"/>
        </w:rPr>
        <w:t>June</w:t>
      </w:r>
      <w:r w:rsidRPr="00494FA9">
        <w:rPr>
          <w:b/>
          <w:bCs/>
          <w:sz w:val="28"/>
          <w:szCs w:val="28"/>
        </w:rPr>
        <w:t xml:space="preserve"> 2016</w:t>
      </w:r>
    </w:p>
    <w:p w:rsidR="00CA6943" w:rsidRPr="00494FA9" w:rsidRDefault="00CA6943" w:rsidP="009E3612">
      <w:pPr>
        <w:rPr>
          <w:b/>
          <w:bCs/>
          <w:sz w:val="28"/>
          <w:szCs w:val="28"/>
        </w:rPr>
      </w:pPr>
    </w:p>
    <w:p w:rsidR="009E3612" w:rsidRPr="00494FA9" w:rsidRDefault="009E3612" w:rsidP="009E3612">
      <w:pPr>
        <w:rPr>
          <w:b/>
          <w:bCs/>
          <w:sz w:val="28"/>
          <w:szCs w:val="28"/>
        </w:rPr>
      </w:pPr>
      <w:r w:rsidRPr="00494FA9">
        <w:rPr>
          <w:b/>
          <w:bCs/>
          <w:sz w:val="28"/>
          <w:szCs w:val="28"/>
        </w:rPr>
        <w:t>Selection Process</w:t>
      </w:r>
    </w:p>
    <w:p w:rsidR="009E3612" w:rsidRPr="00494FA9" w:rsidRDefault="009E3612" w:rsidP="009E3612">
      <w:pPr>
        <w:spacing w:line="360" w:lineRule="auto"/>
        <w:rPr>
          <w:b/>
          <w:u w:val="single"/>
        </w:rPr>
      </w:pPr>
    </w:p>
    <w:p w:rsidR="009E3612" w:rsidRPr="00494FA9" w:rsidRDefault="009E3612" w:rsidP="009E3612">
      <w:pPr>
        <w:spacing w:line="360" w:lineRule="auto"/>
        <w:rPr>
          <w:b/>
          <w:u w:val="single"/>
        </w:rPr>
      </w:pPr>
      <w:r w:rsidRPr="00494FA9">
        <w:rPr>
          <w:b/>
          <w:u w:val="single"/>
        </w:rPr>
        <w:t>Formality and eligibility check</w:t>
      </w:r>
    </w:p>
    <w:p w:rsidR="009E3612" w:rsidRPr="00494FA9" w:rsidRDefault="009E3612" w:rsidP="009E3612">
      <w:pPr>
        <w:spacing w:line="360" w:lineRule="auto"/>
      </w:pPr>
      <w:r w:rsidRPr="00494FA9">
        <w:t xml:space="preserve">The Local </w:t>
      </w:r>
      <w:proofErr w:type="spellStart"/>
      <w:r w:rsidRPr="00494FA9">
        <w:t>IncoNet</w:t>
      </w:r>
      <w:proofErr w:type="spellEnd"/>
      <w:r w:rsidRPr="00494FA9">
        <w:t xml:space="preserve"> </w:t>
      </w:r>
      <w:proofErr w:type="spellStart"/>
      <w:r w:rsidRPr="00494FA9">
        <w:t>EaP</w:t>
      </w:r>
      <w:proofErr w:type="spellEnd"/>
      <w:r w:rsidRPr="00494FA9">
        <w:t xml:space="preserve"> Partner will be responsible for the formality and eligibility check. Applications which do not comply with the eligibility criteria will not be considered within the evaluation process. </w:t>
      </w:r>
    </w:p>
    <w:p w:rsidR="009E3612" w:rsidRPr="00494FA9" w:rsidRDefault="009E3612" w:rsidP="009E3612">
      <w:pPr>
        <w:spacing w:line="360" w:lineRule="auto"/>
      </w:pPr>
    </w:p>
    <w:p w:rsidR="009E3612" w:rsidRPr="00494FA9" w:rsidRDefault="009E3612" w:rsidP="009E3612">
      <w:pPr>
        <w:spacing w:line="360" w:lineRule="auto"/>
        <w:rPr>
          <w:b/>
          <w:u w:val="single"/>
        </w:rPr>
      </w:pPr>
      <w:r w:rsidRPr="00494FA9">
        <w:rPr>
          <w:b/>
          <w:u w:val="single"/>
        </w:rPr>
        <w:t xml:space="preserve">Evaluation </w:t>
      </w:r>
    </w:p>
    <w:p w:rsidR="00CA6943" w:rsidRPr="00494FA9" w:rsidRDefault="009E3612" w:rsidP="009E3612">
      <w:pPr>
        <w:spacing w:line="360" w:lineRule="auto"/>
      </w:pPr>
      <w:r w:rsidRPr="00494FA9">
        <w:t>The evaluation, based on a specified scoring matrix (see below) will be carried out by the Local Partners</w:t>
      </w:r>
      <w:r w:rsidR="00CA6943" w:rsidRPr="00494FA9">
        <w:t xml:space="preserve">, </w:t>
      </w:r>
      <w:r w:rsidRPr="00494FA9">
        <w:t>the Task Leader and the Coordinator.</w:t>
      </w:r>
    </w:p>
    <w:p w:rsidR="00CA6943" w:rsidRPr="00494FA9" w:rsidRDefault="00CA6943">
      <w:pPr>
        <w:spacing w:before="0" w:after="200" w:line="276" w:lineRule="auto"/>
        <w:jc w:val="left"/>
      </w:pPr>
      <w:r w:rsidRPr="00494FA9">
        <w:br w:type="page"/>
      </w:r>
    </w:p>
    <w:p w:rsidR="009E3612" w:rsidRPr="00494FA9" w:rsidRDefault="009E3612" w:rsidP="009E3612">
      <w:pPr>
        <w:spacing w:line="360" w:lineRule="auto"/>
      </w:pPr>
    </w:p>
    <w:p w:rsidR="009E3612" w:rsidRPr="00494FA9" w:rsidRDefault="009E3612" w:rsidP="009E3612">
      <w:pPr>
        <w:spacing w:line="360" w:lineRule="auto"/>
        <w:rPr>
          <w:b/>
          <w:u w:val="single"/>
        </w:rPr>
      </w:pPr>
      <w:r w:rsidRPr="00494FA9">
        <w:rPr>
          <w:b/>
          <w:u w:val="single"/>
        </w:rPr>
        <w:t>Scoring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3"/>
        <w:gridCol w:w="2019"/>
      </w:tblGrid>
      <w:tr w:rsidR="009E3612" w:rsidRPr="00494FA9" w:rsidTr="006A5FA6">
        <w:tc>
          <w:tcPr>
            <w:tcW w:w="3951" w:type="pct"/>
          </w:tcPr>
          <w:p w:rsidR="009E3612" w:rsidRPr="00494FA9" w:rsidRDefault="009E3612" w:rsidP="006A5FA6">
            <w:pPr>
              <w:spacing w:line="360" w:lineRule="auto"/>
              <w:rPr>
                <w:b/>
              </w:rPr>
            </w:pPr>
            <w:r w:rsidRPr="00494FA9">
              <w:rPr>
                <w:b/>
              </w:rPr>
              <w:t>Evaluation Criteria</w:t>
            </w:r>
          </w:p>
        </w:tc>
        <w:tc>
          <w:tcPr>
            <w:tcW w:w="1049" w:type="pct"/>
          </w:tcPr>
          <w:p w:rsidR="009E3612" w:rsidRPr="00494FA9" w:rsidRDefault="009E3612" w:rsidP="006A5FA6">
            <w:pPr>
              <w:spacing w:line="360" w:lineRule="auto"/>
              <w:rPr>
                <w:b/>
              </w:rPr>
            </w:pPr>
            <w:r w:rsidRPr="00494FA9">
              <w:rPr>
                <w:b/>
              </w:rPr>
              <w:t>Scoring</w:t>
            </w:r>
          </w:p>
        </w:tc>
      </w:tr>
      <w:tr w:rsidR="009E3612" w:rsidRPr="00494FA9" w:rsidTr="006A5FA6">
        <w:tc>
          <w:tcPr>
            <w:tcW w:w="3951" w:type="pct"/>
          </w:tcPr>
          <w:p w:rsidR="009E3612" w:rsidRPr="00494FA9" w:rsidRDefault="009E3612" w:rsidP="006A5FA6">
            <w:pPr>
              <w:spacing w:line="360" w:lineRule="auto"/>
            </w:pPr>
            <w:r w:rsidRPr="00494FA9">
              <w:t>Have a postgraduate degree and/or at least three years’ full time experience in research</w:t>
            </w:r>
          </w:p>
        </w:tc>
        <w:tc>
          <w:tcPr>
            <w:tcW w:w="1049" w:type="pct"/>
          </w:tcPr>
          <w:p w:rsidR="009E3612" w:rsidRPr="00494FA9" w:rsidRDefault="009E3612" w:rsidP="006A5FA6">
            <w:pPr>
              <w:spacing w:line="360" w:lineRule="auto"/>
            </w:pPr>
            <w:r w:rsidRPr="00494FA9">
              <w:t>Yes or No</w:t>
            </w:r>
          </w:p>
        </w:tc>
      </w:tr>
      <w:tr w:rsidR="009E3612" w:rsidRPr="00494FA9" w:rsidTr="006A5FA6">
        <w:tc>
          <w:tcPr>
            <w:tcW w:w="3951" w:type="pct"/>
          </w:tcPr>
          <w:p w:rsidR="009E3612" w:rsidRPr="00494FA9" w:rsidRDefault="009E3612" w:rsidP="006A5FA6">
            <w:pPr>
              <w:spacing w:line="360" w:lineRule="auto"/>
            </w:pPr>
            <w:r w:rsidRPr="00494FA9">
              <w:t>Be a member or an employee of a research institution and or of a higher education institution or of a research department of an SME-enterprise in one of the partner countries</w:t>
            </w:r>
          </w:p>
        </w:tc>
        <w:tc>
          <w:tcPr>
            <w:tcW w:w="1049" w:type="pct"/>
          </w:tcPr>
          <w:p w:rsidR="009E3612" w:rsidRPr="00494FA9" w:rsidRDefault="009E3612" w:rsidP="006A5FA6">
            <w:pPr>
              <w:spacing w:line="360" w:lineRule="auto"/>
            </w:pPr>
            <w:r w:rsidRPr="00494FA9">
              <w:t>Yes or No</w:t>
            </w:r>
          </w:p>
        </w:tc>
      </w:tr>
      <w:tr w:rsidR="009E3612" w:rsidRPr="00494FA9" w:rsidTr="006A5FA6">
        <w:tc>
          <w:tcPr>
            <w:tcW w:w="3951" w:type="pct"/>
          </w:tcPr>
          <w:p w:rsidR="009E3612" w:rsidRPr="00494FA9" w:rsidRDefault="009E3612" w:rsidP="006A5FA6">
            <w:pPr>
              <w:spacing w:line="360" w:lineRule="auto"/>
            </w:pPr>
            <w:r w:rsidRPr="00494FA9">
              <w:t>Sufficient knowledge of English (language exam, or self-estimation)</w:t>
            </w:r>
          </w:p>
        </w:tc>
        <w:tc>
          <w:tcPr>
            <w:tcW w:w="1049" w:type="pct"/>
          </w:tcPr>
          <w:p w:rsidR="009E3612" w:rsidRPr="00494FA9" w:rsidRDefault="009E3612" w:rsidP="006A5FA6">
            <w:pPr>
              <w:spacing w:line="360" w:lineRule="auto"/>
            </w:pPr>
            <w:r w:rsidRPr="00494FA9">
              <w:t>Yes or No</w:t>
            </w:r>
          </w:p>
        </w:tc>
      </w:tr>
      <w:tr w:rsidR="009E3612" w:rsidRPr="00494FA9" w:rsidTr="006A5FA6">
        <w:tc>
          <w:tcPr>
            <w:tcW w:w="3951" w:type="pct"/>
            <w:tcBorders>
              <w:bottom w:val="double" w:sz="4" w:space="0" w:color="auto"/>
            </w:tcBorders>
          </w:tcPr>
          <w:p w:rsidR="009E3612" w:rsidRPr="00494FA9" w:rsidRDefault="009E3612" w:rsidP="006A5FA6">
            <w:pPr>
              <w:spacing w:line="360" w:lineRule="auto"/>
            </w:pPr>
            <w:r w:rsidRPr="00494FA9">
              <w:t>Thematic Area of research (Health, Energy, Climate Change)</w:t>
            </w:r>
          </w:p>
        </w:tc>
        <w:tc>
          <w:tcPr>
            <w:tcW w:w="1049" w:type="pct"/>
            <w:tcBorders>
              <w:bottom w:val="double" w:sz="4" w:space="0" w:color="auto"/>
            </w:tcBorders>
          </w:tcPr>
          <w:p w:rsidR="009E3612" w:rsidRPr="00494FA9" w:rsidRDefault="009E3612" w:rsidP="006A5FA6">
            <w:pPr>
              <w:spacing w:line="360" w:lineRule="auto"/>
            </w:pPr>
            <w:r w:rsidRPr="00494FA9">
              <w:t>Yes or No</w:t>
            </w:r>
          </w:p>
        </w:tc>
      </w:tr>
      <w:tr w:rsidR="009E3612" w:rsidRPr="00494FA9" w:rsidTr="006A5FA6">
        <w:tc>
          <w:tcPr>
            <w:tcW w:w="3951" w:type="pct"/>
            <w:tcBorders>
              <w:top w:val="double" w:sz="4" w:space="0" w:color="auto"/>
            </w:tcBorders>
          </w:tcPr>
          <w:p w:rsidR="009E3612" w:rsidRPr="00494FA9" w:rsidRDefault="009E3612" w:rsidP="006A5FA6">
            <w:pPr>
              <w:spacing w:line="360" w:lineRule="auto"/>
            </w:pPr>
            <w:r w:rsidRPr="00494FA9">
              <w:t>Research performance/scientific excellence:</w:t>
            </w:r>
          </w:p>
          <w:p w:rsidR="009E3612" w:rsidRPr="00494FA9" w:rsidRDefault="009E3612" w:rsidP="009E3612">
            <w:pPr>
              <w:numPr>
                <w:ilvl w:val="2"/>
                <w:numId w:val="2"/>
              </w:numPr>
              <w:spacing w:before="0" w:line="360" w:lineRule="auto"/>
              <w:ind w:left="814"/>
            </w:pPr>
            <w:r w:rsidRPr="00494FA9">
              <w:t>5 most important publications, relevant to the event</w:t>
            </w:r>
          </w:p>
          <w:p w:rsidR="009E3612" w:rsidRPr="00494FA9" w:rsidRDefault="009E3612" w:rsidP="009E3612">
            <w:pPr>
              <w:numPr>
                <w:ilvl w:val="2"/>
                <w:numId w:val="2"/>
              </w:numPr>
              <w:spacing w:before="0" w:line="360" w:lineRule="auto"/>
              <w:ind w:left="814"/>
            </w:pPr>
            <w:r w:rsidRPr="00494FA9">
              <w:t>total number of publications</w:t>
            </w:r>
          </w:p>
          <w:p w:rsidR="009E3612" w:rsidRPr="00494FA9" w:rsidRDefault="009E3612" w:rsidP="009E3612">
            <w:pPr>
              <w:numPr>
                <w:ilvl w:val="2"/>
                <w:numId w:val="2"/>
              </w:numPr>
              <w:spacing w:before="0" w:line="360" w:lineRule="auto"/>
              <w:ind w:left="814"/>
            </w:pPr>
            <w:r w:rsidRPr="00494FA9">
              <w:t>total number of citations</w:t>
            </w:r>
          </w:p>
          <w:p w:rsidR="009E3612" w:rsidRPr="00494FA9" w:rsidRDefault="009E3612" w:rsidP="009E3612">
            <w:pPr>
              <w:numPr>
                <w:ilvl w:val="2"/>
                <w:numId w:val="2"/>
              </w:numPr>
              <w:spacing w:before="0" w:line="360" w:lineRule="auto"/>
              <w:ind w:left="814"/>
            </w:pPr>
            <w:r w:rsidRPr="00494FA9">
              <w:t>patents, if any</w:t>
            </w:r>
          </w:p>
          <w:p w:rsidR="009E3612" w:rsidRPr="00494FA9" w:rsidRDefault="009E3612" w:rsidP="009E3612">
            <w:pPr>
              <w:numPr>
                <w:ilvl w:val="2"/>
                <w:numId w:val="2"/>
              </w:numPr>
              <w:spacing w:before="0" w:line="360" w:lineRule="auto"/>
              <w:ind w:left="814"/>
            </w:pPr>
            <w:r w:rsidRPr="00494FA9">
              <w:t>participation in projects related to the topic of the Brokerage Event</w:t>
            </w:r>
          </w:p>
        </w:tc>
        <w:tc>
          <w:tcPr>
            <w:tcW w:w="1049" w:type="pct"/>
            <w:tcBorders>
              <w:top w:val="double" w:sz="4" w:space="0" w:color="auto"/>
            </w:tcBorders>
          </w:tcPr>
          <w:p w:rsidR="009E3612" w:rsidRPr="00494FA9" w:rsidRDefault="009E3612" w:rsidP="006A5FA6">
            <w:pPr>
              <w:spacing w:line="360" w:lineRule="auto"/>
            </w:pPr>
            <w:r w:rsidRPr="00494FA9">
              <w:t>max: 10 points</w:t>
            </w:r>
          </w:p>
          <w:p w:rsidR="009E3612" w:rsidRPr="00494FA9" w:rsidRDefault="009E3612" w:rsidP="006A5FA6">
            <w:pPr>
              <w:spacing w:line="360" w:lineRule="auto"/>
            </w:pPr>
            <w:r w:rsidRPr="00494FA9">
              <w:t>min: 7 points</w:t>
            </w:r>
          </w:p>
        </w:tc>
      </w:tr>
      <w:tr w:rsidR="009E3612" w:rsidRPr="00494FA9" w:rsidTr="006A5FA6">
        <w:tc>
          <w:tcPr>
            <w:tcW w:w="3951" w:type="pct"/>
          </w:tcPr>
          <w:p w:rsidR="009E3612" w:rsidRPr="00494FA9" w:rsidRDefault="009E3612" w:rsidP="006A5FA6">
            <w:pPr>
              <w:spacing w:line="360" w:lineRule="auto"/>
            </w:pPr>
            <w:r w:rsidRPr="00494FA9">
              <w:t>International cooperation activities:</w:t>
            </w:r>
          </w:p>
          <w:p w:rsidR="009E3612" w:rsidRPr="00494FA9" w:rsidRDefault="009E3612" w:rsidP="009E3612">
            <w:pPr>
              <w:numPr>
                <w:ilvl w:val="2"/>
                <w:numId w:val="2"/>
              </w:numPr>
              <w:spacing w:before="0" w:line="360" w:lineRule="auto"/>
              <w:ind w:left="814"/>
            </w:pPr>
            <w:r w:rsidRPr="00494FA9">
              <w:t xml:space="preserve">projects and/or structured cooperation with other countries; </w:t>
            </w:r>
          </w:p>
          <w:p w:rsidR="009E3612" w:rsidRPr="00494FA9" w:rsidRDefault="009E3612" w:rsidP="009E3612">
            <w:pPr>
              <w:numPr>
                <w:ilvl w:val="2"/>
                <w:numId w:val="2"/>
              </w:numPr>
              <w:spacing w:before="0" w:line="360" w:lineRule="auto"/>
              <w:ind w:left="814"/>
            </w:pPr>
            <w:r w:rsidRPr="00494FA9">
              <w:t xml:space="preserve">trainings abroad; </w:t>
            </w:r>
          </w:p>
          <w:p w:rsidR="009E3612" w:rsidRPr="00494FA9" w:rsidRDefault="009E3612" w:rsidP="009E3612">
            <w:pPr>
              <w:numPr>
                <w:ilvl w:val="2"/>
                <w:numId w:val="2"/>
              </w:numPr>
              <w:spacing w:before="0" w:line="360" w:lineRule="auto"/>
              <w:ind w:left="814"/>
            </w:pPr>
            <w:r w:rsidRPr="00494FA9">
              <w:t>participation in international conferences</w:t>
            </w:r>
          </w:p>
        </w:tc>
        <w:tc>
          <w:tcPr>
            <w:tcW w:w="1049" w:type="pct"/>
          </w:tcPr>
          <w:p w:rsidR="009E3612" w:rsidRPr="00494FA9" w:rsidRDefault="009E3612" w:rsidP="006A5FA6">
            <w:pPr>
              <w:spacing w:line="360" w:lineRule="auto"/>
            </w:pPr>
            <w:r w:rsidRPr="00494FA9">
              <w:t>max: 5 points</w:t>
            </w:r>
          </w:p>
          <w:p w:rsidR="009E3612" w:rsidRPr="00494FA9" w:rsidRDefault="009E3612" w:rsidP="006A5FA6">
            <w:pPr>
              <w:spacing w:line="360" w:lineRule="auto"/>
            </w:pPr>
            <w:r w:rsidRPr="00494FA9">
              <w:t>min: 3 points</w:t>
            </w:r>
          </w:p>
        </w:tc>
      </w:tr>
      <w:tr w:rsidR="009E3612" w:rsidRPr="00494FA9" w:rsidTr="006A5FA6">
        <w:tc>
          <w:tcPr>
            <w:tcW w:w="3951" w:type="pct"/>
          </w:tcPr>
          <w:p w:rsidR="009E3612" w:rsidRPr="00494FA9" w:rsidRDefault="009E3612" w:rsidP="006A5FA6">
            <w:pPr>
              <w:spacing w:line="360" w:lineRule="auto"/>
            </w:pPr>
            <w:r w:rsidRPr="00494FA9">
              <w:t>Commitment to take full advantage of the participation in the event:</w:t>
            </w:r>
          </w:p>
          <w:p w:rsidR="009E3612" w:rsidRPr="00494FA9" w:rsidRDefault="009E3612" w:rsidP="009E3612">
            <w:pPr>
              <w:numPr>
                <w:ilvl w:val="2"/>
                <w:numId w:val="2"/>
              </w:numPr>
              <w:spacing w:before="0" w:line="360" w:lineRule="auto"/>
              <w:ind w:left="814"/>
            </w:pPr>
            <w:proofErr w:type="gramStart"/>
            <w:r w:rsidRPr="00494FA9">
              <w:t>expected</w:t>
            </w:r>
            <w:proofErr w:type="gramEnd"/>
            <w:r w:rsidRPr="00494FA9">
              <w:t xml:space="preserve"> outcome, </w:t>
            </w:r>
            <w:r w:rsidRPr="00494FA9">
              <w:rPr>
                <w:b/>
              </w:rPr>
              <w:t>concrete</w:t>
            </w:r>
            <w:r w:rsidRPr="00494FA9">
              <w:t xml:space="preserve"> plans for cooperation (become a member of a </w:t>
            </w:r>
            <w:r w:rsidR="00CA6943" w:rsidRPr="00494FA9">
              <w:t xml:space="preserve">Horizon 2020 </w:t>
            </w:r>
            <w:r w:rsidRPr="00494FA9">
              <w:t>consortium, deepen already existing international contacts etc.)</w:t>
            </w:r>
          </w:p>
          <w:p w:rsidR="009E3612" w:rsidRPr="00494FA9" w:rsidRDefault="009E3612" w:rsidP="009E3612">
            <w:pPr>
              <w:numPr>
                <w:ilvl w:val="2"/>
                <w:numId w:val="2"/>
              </w:numPr>
              <w:spacing w:before="0" w:line="360" w:lineRule="auto"/>
              <w:ind w:left="814"/>
            </w:pPr>
            <w:proofErr w:type="gramStart"/>
            <w:r w:rsidRPr="00494FA9">
              <w:t>other</w:t>
            </w:r>
            <w:proofErr w:type="gramEnd"/>
            <w:r w:rsidRPr="00494FA9">
              <w:t xml:space="preserve"> activities planned (poster, presentation etc.)</w:t>
            </w:r>
          </w:p>
        </w:tc>
        <w:tc>
          <w:tcPr>
            <w:tcW w:w="1049" w:type="pct"/>
          </w:tcPr>
          <w:p w:rsidR="009E3612" w:rsidRPr="00494FA9" w:rsidRDefault="009E3612" w:rsidP="006A5FA6">
            <w:pPr>
              <w:spacing w:line="360" w:lineRule="auto"/>
            </w:pPr>
            <w:r w:rsidRPr="00494FA9">
              <w:t>max: 10 points</w:t>
            </w:r>
          </w:p>
          <w:p w:rsidR="009E3612" w:rsidRPr="00494FA9" w:rsidRDefault="009E3612" w:rsidP="006A5FA6">
            <w:pPr>
              <w:spacing w:line="360" w:lineRule="auto"/>
            </w:pPr>
            <w:r w:rsidRPr="00494FA9">
              <w:t>min: 7 points</w:t>
            </w:r>
          </w:p>
        </w:tc>
      </w:tr>
    </w:tbl>
    <w:p w:rsidR="009E3612" w:rsidRPr="00494FA9" w:rsidRDefault="009E3612" w:rsidP="009E3612">
      <w:pPr>
        <w:spacing w:line="360" w:lineRule="auto"/>
        <w:rPr>
          <w:b/>
          <w:u w:val="single"/>
        </w:rPr>
      </w:pPr>
    </w:p>
    <w:p w:rsidR="009E3612" w:rsidRPr="00494FA9" w:rsidRDefault="009E3612" w:rsidP="009E3612">
      <w:pPr>
        <w:rPr>
          <w:b/>
          <w:bCs/>
          <w:u w:val="single"/>
        </w:rPr>
      </w:pPr>
      <w:bookmarkStart w:id="4" w:name="_Toc253744387"/>
      <w:bookmarkStart w:id="5" w:name="_Toc257625834"/>
      <w:r w:rsidRPr="00494FA9">
        <w:rPr>
          <w:b/>
          <w:bCs/>
          <w:u w:val="single"/>
        </w:rPr>
        <w:lastRenderedPageBreak/>
        <w:t xml:space="preserve">Funding </w:t>
      </w:r>
      <w:bookmarkEnd w:id="4"/>
      <w:bookmarkEnd w:id="5"/>
      <w:r w:rsidRPr="00494FA9">
        <w:rPr>
          <w:b/>
          <w:bCs/>
          <w:u w:val="single"/>
        </w:rPr>
        <w:t>Requirements</w:t>
      </w:r>
    </w:p>
    <w:p w:rsidR="009E3612" w:rsidRPr="00494FA9" w:rsidRDefault="009E3612" w:rsidP="009E3612"/>
    <w:p w:rsidR="00F006F5" w:rsidRPr="00494FA9" w:rsidRDefault="009E3612" w:rsidP="009E3612">
      <w:pPr>
        <w:spacing w:line="360" w:lineRule="auto"/>
      </w:pPr>
      <w:r w:rsidRPr="00494FA9">
        <w:t xml:space="preserve">The Grants will be paid by the Local Partner as a reimbursement for travel costs (travel, accommodation, event participation fee, visa costs and per diem or actual expenses in accordance to Local Partner rules). The Grant cannot exceed 3000 euro.  If the cost of participation exceeds this amount, the additional cost must be borne by the Grant recipient. An advance payment up to 75% of the budget may be paid to the Grant recipients (covering travel, accommodation and visa) while the remaining costs (per diem, actual expenses during stay, according to the Local Partner rules) will be reimbursed upon the return of the researcher and the handing of the participation evidence and related documents (Event Participation Report) to the Local partner. </w:t>
      </w:r>
    </w:p>
    <w:p w:rsidR="00F006F5" w:rsidRPr="00494FA9" w:rsidRDefault="00F006F5">
      <w:pPr>
        <w:spacing w:before="0" w:after="200" w:line="276" w:lineRule="auto"/>
        <w:jc w:val="left"/>
      </w:pPr>
      <w:r w:rsidRPr="00494FA9">
        <w:br w:type="page"/>
      </w:r>
    </w:p>
    <w:p w:rsidR="00CB0CC3" w:rsidRPr="00494FA9" w:rsidRDefault="00F006F5" w:rsidP="00CB0CC3">
      <w:pPr>
        <w:rPr>
          <w:b/>
          <w:bCs/>
          <w:u w:val="single"/>
        </w:rPr>
      </w:pPr>
      <w:r w:rsidRPr="00494FA9">
        <w:rPr>
          <w:b/>
          <w:bCs/>
          <w:u w:val="single"/>
        </w:rPr>
        <w:lastRenderedPageBreak/>
        <w:t xml:space="preserve">Recommended Events </w:t>
      </w:r>
    </w:p>
    <w:p w:rsidR="00CB0CC3" w:rsidRPr="00494FA9" w:rsidRDefault="00CB0CC3" w:rsidP="00CB0CC3">
      <w:pPr>
        <w:rPr>
          <w:b/>
          <w:bCs/>
        </w:rPr>
      </w:pPr>
      <w:r w:rsidRPr="00494FA9">
        <w:rPr>
          <w:b/>
          <w:bCs/>
        </w:rPr>
        <w:t>Energy</w:t>
      </w:r>
    </w:p>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H2020 Energy Market Uptake Calls 2016-17 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21 Mar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21 Mar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rPr>
              <w:t>20 Mar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Istanbul</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Turkey</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rPr>
                <w:rFonts w:ascii="Verdana" w:hAnsi="Verdana"/>
                <w:color w:val="000000"/>
                <w:sz w:val="18"/>
                <w:szCs w:val="18"/>
                <w:lang w:eastAsia="hu-HU"/>
              </w:rPr>
            </w:pPr>
            <w:hyperlink r:id="rId8" w:history="1">
              <w:r w:rsidR="00CB0CC3" w:rsidRPr="00494FA9">
                <w:rPr>
                  <w:rStyle w:val="Hiperhivatkozs"/>
                  <w:rFonts w:ascii="Verdana" w:hAnsi="Verdana"/>
                  <w:color w:val="034AF3"/>
                  <w:sz w:val="18"/>
                  <w:szCs w:val="18"/>
                </w:rPr>
                <w:t>https://www.b2match.eu/energy-csa-2016</w:t>
              </w:r>
            </w:hyperlink>
          </w:p>
        </w:tc>
      </w:tr>
    </w:tbl>
    <w:p w:rsidR="00CB0CC3" w:rsidRPr="00494FA9" w:rsidRDefault="00CB0CC3" w:rsidP="00CB0CC3"/>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 on energy and sustainable construction in the Netherlands at Urban Energy Transition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18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19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9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proofErr w:type="spellStart"/>
            <w:r w:rsidRPr="00494FA9">
              <w:rPr>
                <w:rFonts w:ascii="Verdana" w:hAnsi="Verdana"/>
                <w:color w:val="000000"/>
                <w:sz w:val="18"/>
                <w:szCs w:val="18"/>
                <w:lang w:eastAsia="hu-HU"/>
              </w:rPr>
              <w:t>Assen</w:t>
            </w:r>
            <w:proofErr w:type="spellEnd"/>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Netherlands</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rPr>
                <w:rFonts w:ascii="Verdana" w:hAnsi="Verdana"/>
                <w:color w:val="000000"/>
                <w:sz w:val="18"/>
                <w:szCs w:val="18"/>
                <w:lang w:eastAsia="hu-HU"/>
              </w:rPr>
            </w:pPr>
            <w:hyperlink r:id="rId9" w:history="1">
              <w:r w:rsidR="00CB0CC3" w:rsidRPr="00494FA9">
                <w:rPr>
                  <w:rStyle w:val="Hiperhivatkozs"/>
                  <w:rFonts w:ascii="Verdana" w:hAnsi="Verdana"/>
                  <w:sz w:val="18"/>
                  <w:szCs w:val="18"/>
                  <w:lang w:eastAsia="hu-HU"/>
                </w:rPr>
                <w:t>http://urbanenergytransition.nl/en/visitor-matchmaking.html</w:t>
              </w:r>
            </w:hyperlink>
          </w:p>
        </w:tc>
      </w:tr>
    </w:tbl>
    <w:p w:rsidR="00CB0CC3" w:rsidRPr="00494FA9" w:rsidRDefault="00CB0CC3" w:rsidP="00CB0CC3"/>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E² Tech4Cities 2016 – Energy &amp; Efficiency Technologies for cities 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17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17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01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Brussels</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Belgium</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spacing w:line="276" w:lineRule="auto"/>
              <w:rPr>
                <w:rFonts w:ascii="Verdana" w:eastAsiaTheme="minorHAnsi" w:hAnsi="Verdana" w:cstheme="minorBidi"/>
                <w:color w:val="000000"/>
                <w:sz w:val="18"/>
                <w:szCs w:val="18"/>
              </w:rPr>
            </w:pPr>
            <w:hyperlink r:id="rId10" w:history="1">
              <w:r w:rsidR="00CB0CC3" w:rsidRPr="00494FA9">
                <w:rPr>
                  <w:rStyle w:val="Hiperhivatkozs"/>
                  <w:rFonts w:ascii="Verdana" w:hAnsi="Verdana"/>
                  <w:sz w:val="18"/>
                  <w:szCs w:val="18"/>
                </w:rPr>
                <w:t>https://www.b2match.eu/e2tech4cities2016/</w:t>
              </w:r>
            </w:hyperlink>
          </w:p>
        </w:tc>
      </w:tr>
    </w:tbl>
    <w:p w:rsidR="00CB0CC3" w:rsidRPr="00494FA9" w:rsidRDefault="00CB0CC3" w:rsidP="00CB0CC3">
      <w:pPr>
        <w:rPr>
          <w:b/>
          <w:bCs/>
        </w:rPr>
      </w:pPr>
      <w:r w:rsidRPr="00494FA9">
        <w:rPr>
          <w:b/>
          <w:bCs/>
        </w:rPr>
        <w:lastRenderedPageBreak/>
        <w:t>Environment</w:t>
      </w:r>
    </w:p>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Geothermal Conference 2016 - Matchmaking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28 Apr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28 Apr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rPr>
              <w:t>26 Apr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Reykjavik</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Iceland</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rPr>
                <w:rFonts w:ascii="Verdana" w:hAnsi="Verdana"/>
                <w:color w:val="000000"/>
                <w:sz w:val="18"/>
                <w:szCs w:val="18"/>
                <w:lang w:eastAsia="hu-HU"/>
              </w:rPr>
            </w:pPr>
            <w:hyperlink r:id="rId11" w:history="1">
              <w:r w:rsidR="00CB0CC3" w:rsidRPr="00494FA9">
                <w:rPr>
                  <w:rStyle w:val="Hiperhivatkozs"/>
                  <w:rFonts w:ascii="Verdana" w:hAnsi="Verdana"/>
                  <w:color w:val="034AF3"/>
                  <w:sz w:val="18"/>
                  <w:szCs w:val="18"/>
                </w:rPr>
                <w:t>https://www.b2match.eu/geothermal2016</w:t>
              </w:r>
            </w:hyperlink>
          </w:p>
        </w:tc>
      </w:tr>
    </w:tbl>
    <w:p w:rsidR="00CB0CC3" w:rsidRPr="00494FA9" w:rsidRDefault="00CB0CC3" w:rsidP="00CB0CC3"/>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Matchmaking during Wind Days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15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16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01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Rotterdam</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Netherlands</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rPr>
                <w:rFonts w:ascii="Verdana" w:hAnsi="Verdana"/>
                <w:color w:val="000000"/>
                <w:sz w:val="18"/>
                <w:szCs w:val="18"/>
                <w:lang w:eastAsia="hu-HU"/>
              </w:rPr>
            </w:pPr>
            <w:hyperlink r:id="rId12" w:history="1">
              <w:r w:rsidR="00CB0CC3" w:rsidRPr="00494FA9">
                <w:rPr>
                  <w:rStyle w:val="Hiperhivatkozs"/>
                  <w:rFonts w:ascii="Verdana" w:hAnsi="Verdana"/>
                  <w:color w:val="034AF3"/>
                  <w:sz w:val="18"/>
                  <w:szCs w:val="18"/>
                </w:rPr>
                <w:t>http://winddays.com/route-and-contact/</w:t>
              </w:r>
            </w:hyperlink>
          </w:p>
        </w:tc>
      </w:tr>
    </w:tbl>
    <w:p w:rsidR="00CB0CC3" w:rsidRPr="00494FA9" w:rsidRDefault="00CB0CC3" w:rsidP="00CB0CC3"/>
    <w:p w:rsidR="00CB0CC3" w:rsidRPr="00494FA9" w:rsidRDefault="00CB0CC3" w:rsidP="00CB0CC3">
      <w:pPr>
        <w:rPr>
          <w:b/>
        </w:rPr>
      </w:pPr>
      <w:r w:rsidRPr="00494FA9">
        <w:rPr>
          <w:b/>
        </w:rPr>
        <w:br/>
        <w:t>Health</w:t>
      </w:r>
    </w:p>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Matchmaking @ Health and Rehab Scandinavia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11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11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rPr>
              <w:t>06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Copenhagen</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Denmark</w:t>
            </w:r>
          </w:p>
        </w:tc>
      </w:tr>
      <w:tr w:rsidR="00CB0CC3" w:rsidRPr="00494FA9" w:rsidTr="0064130F">
        <w:trPr>
          <w:trHeight w:val="347"/>
        </w:trPr>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Style w:val="Hiperhivatkozs"/>
                <w:rFonts w:eastAsiaTheme="minorHAnsi" w:cstheme="minorBidi"/>
                <w:color w:val="034AF3"/>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spacing w:line="276" w:lineRule="auto"/>
              <w:rPr>
                <w:rStyle w:val="Hiperhivatkozs"/>
                <w:rFonts w:eastAsiaTheme="minorHAnsi" w:cstheme="minorBidi"/>
                <w:color w:val="034AF3"/>
              </w:rPr>
            </w:pPr>
            <w:hyperlink r:id="rId13" w:history="1">
              <w:r w:rsidR="00CB0CC3" w:rsidRPr="00494FA9">
                <w:rPr>
                  <w:rStyle w:val="Hiperhivatkozs"/>
                  <w:rFonts w:ascii="Verdana" w:hAnsi="Verdana"/>
                  <w:sz w:val="18"/>
                  <w:szCs w:val="18"/>
                </w:rPr>
                <w:t>http://www.b2match.eu/health-rehab2016</w:t>
              </w:r>
            </w:hyperlink>
          </w:p>
        </w:tc>
      </w:tr>
    </w:tbl>
    <w:p w:rsidR="00CB0CC3" w:rsidRPr="00494FA9" w:rsidRDefault="00CB0CC3" w:rsidP="00CB0CC3"/>
    <w:p w:rsidR="00CB0CC3" w:rsidRPr="00494FA9" w:rsidRDefault="00CB0CC3" w:rsidP="00CB0CC3"/>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proofErr w:type="spellStart"/>
            <w:r w:rsidRPr="00494FA9">
              <w:rPr>
                <w:rFonts w:ascii="Verdana" w:hAnsi="Verdana"/>
                <w:color w:val="000000"/>
                <w:sz w:val="18"/>
                <w:szCs w:val="18"/>
                <w:lang w:eastAsia="hu-HU"/>
              </w:rPr>
              <w:t>Biomedica</w:t>
            </w:r>
            <w:proofErr w:type="spellEnd"/>
            <w:r w:rsidRPr="00494FA9">
              <w:rPr>
                <w:rFonts w:ascii="Verdana" w:hAnsi="Verdana"/>
                <w:color w:val="000000"/>
                <w:sz w:val="18"/>
                <w:szCs w:val="18"/>
                <w:lang w:eastAsia="hu-HU"/>
              </w:rPr>
              <w:t xml:space="preserve"> Brokerage Event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30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31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rPr>
              <w:t>16 May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Aachen</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Germany</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rPr>
                <w:rFonts w:ascii="Verdana" w:hAnsi="Verdana"/>
                <w:color w:val="000000"/>
                <w:sz w:val="18"/>
                <w:szCs w:val="18"/>
                <w:lang w:eastAsia="hu-HU"/>
              </w:rPr>
            </w:pPr>
            <w:hyperlink r:id="rId14" w:history="1">
              <w:r w:rsidR="00CB0CC3" w:rsidRPr="00494FA9">
                <w:rPr>
                  <w:rStyle w:val="Hiperhivatkozs"/>
                  <w:rFonts w:ascii="Verdana" w:hAnsi="Verdana"/>
                  <w:sz w:val="18"/>
                  <w:szCs w:val="18"/>
                  <w:lang w:eastAsia="hu-HU"/>
                </w:rPr>
                <w:t>https://www.b2match.eu/biomedica2016</w:t>
              </w:r>
            </w:hyperlink>
          </w:p>
        </w:tc>
      </w:tr>
    </w:tbl>
    <w:p w:rsidR="00CB0CC3" w:rsidRPr="00494FA9" w:rsidRDefault="00CB0CC3" w:rsidP="00CB0CC3"/>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785"/>
        <w:gridCol w:w="7950"/>
      </w:tblGrid>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 xml:space="preserve">Brokerage at </w:t>
            </w:r>
            <w:proofErr w:type="spellStart"/>
            <w:r w:rsidRPr="00494FA9">
              <w:rPr>
                <w:rFonts w:ascii="Verdana" w:hAnsi="Verdana"/>
                <w:color w:val="000000"/>
                <w:sz w:val="18"/>
                <w:szCs w:val="18"/>
                <w:lang w:eastAsia="hu-HU"/>
              </w:rPr>
              <w:t>eHealthweek</w:t>
            </w:r>
            <w:proofErr w:type="spellEnd"/>
            <w:r w:rsidRPr="00494FA9">
              <w:rPr>
                <w:rFonts w:ascii="Verdana" w:hAnsi="Verdana"/>
                <w:color w:val="000000"/>
                <w:sz w:val="18"/>
                <w:szCs w:val="18"/>
                <w:lang w:eastAsia="hu-HU"/>
              </w:rPr>
              <w:t xml:space="preserve"> 2016 in Amsterdam June 8-10</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08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10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rPr>
              <w:t>01 Jun 2016</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Amsterdam</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Netherlands</w:t>
            </w:r>
          </w:p>
        </w:tc>
      </w:tr>
      <w:tr w:rsidR="00CB0CC3" w:rsidRPr="00494FA9" w:rsidTr="0064130F">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CB0CC3" w:rsidRPr="00494FA9" w:rsidRDefault="00CB0CC3" w:rsidP="0064130F">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CB0CC3" w:rsidRPr="00494FA9" w:rsidRDefault="00456159" w:rsidP="0064130F">
            <w:pPr>
              <w:spacing w:line="276" w:lineRule="auto"/>
              <w:rPr>
                <w:rFonts w:ascii="Verdana" w:eastAsiaTheme="minorHAnsi" w:hAnsi="Verdana" w:cstheme="minorBidi"/>
                <w:color w:val="000000"/>
                <w:sz w:val="18"/>
                <w:szCs w:val="18"/>
              </w:rPr>
            </w:pPr>
            <w:hyperlink r:id="rId15" w:history="1">
              <w:r w:rsidR="00CB0CC3" w:rsidRPr="00494FA9">
                <w:rPr>
                  <w:rStyle w:val="Hiperhivatkozs"/>
                  <w:rFonts w:ascii="Verdana" w:hAnsi="Verdana"/>
                  <w:sz w:val="18"/>
                  <w:szCs w:val="18"/>
                </w:rPr>
                <w:t>http://www.ehealthweek.org/ehome/128630/eHealth-week-2016/?&amp;</w:t>
              </w:r>
            </w:hyperlink>
          </w:p>
        </w:tc>
      </w:tr>
    </w:tbl>
    <w:p w:rsidR="00CB0CC3" w:rsidRPr="00494FA9" w:rsidRDefault="00CB0CC3" w:rsidP="00CB0CC3"/>
    <w:p w:rsidR="00CB0CC3" w:rsidRPr="00494FA9" w:rsidRDefault="00CB0CC3" w:rsidP="00CB0CC3"/>
    <w:p w:rsidR="00CB0CC3" w:rsidRPr="00494FA9" w:rsidRDefault="00CB0CC3" w:rsidP="00CB0CC3">
      <w:r w:rsidRPr="00494FA9">
        <w:t xml:space="preserve">Further events: </w:t>
      </w:r>
      <w:hyperlink r:id="rId16" w:history="1">
        <w:r w:rsidRPr="00494FA9">
          <w:rPr>
            <w:rStyle w:val="Hiperhivatkozs"/>
          </w:rPr>
          <w:t>http://een.ec.europa.eu/tools/services/eve/event/listevents</w:t>
        </w:r>
      </w:hyperlink>
    </w:p>
    <w:p w:rsidR="00EB1E8D" w:rsidRPr="00494FA9" w:rsidRDefault="00EB1E8D">
      <w:pPr>
        <w:spacing w:before="0" w:after="200" w:line="276" w:lineRule="auto"/>
        <w:jc w:val="left"/>
      </w:pPr>
    </w:p>
    <w:p w:rsidR="00F51C6E" w:rsidRPr="00494FA9" w:rsidRDefault="00F51C6E" w:rsidP="00F51C6E">
      <w:pPr>
        <w:spacing w:line="360" w:lineRule="auto"/>
        <w:rPr>
          <w:b/>
        </w:rPr>
      </w:pPr>
      <w:r w:rsidRPr="00494FA9">
        <w:t xml:space="preserve">Please note that </w:t>
      </w:r>
      <w:r w:rsidRPr="00494FA9">
        <w:rPr>
          <w:b/>
        </w:rPr>
        <w:t>application for other events</w:t>
      </w:r>
      <w:r w:rsidRPr="00494FA9">
        <w:rPr>
          <w:b/>
        </w:rPr>
        <w:t xml:space="preserve"> (out of the list above)</w:t>
      </w:r>
      <w:r w:rsidRPr="00494FA9">
        <w:rPr>
          <w:b/>
        </w:rPr>
        <w:t xml:space="preserve"> is possible.</w:t>
      </w:r>
    </w:p>
    <w:p w:rsidR="004E3DC8" w:rsidRPr="00494FA9" w:rsidRDefault="004E3DC8" w:rsidP="00DE5E18">
      <w:pPr>
        <w:rPr>
          <w:b/>
          <w:bCs/>
          <w:u w:val="single"/>
        </w:rPr>
      </w:pPr>
    </w:p>
    <w:p w:rsidR="00F51C6E" w:rsidRPr="00494FA9" w:rsidRDefault="00F51C6E" w:rsidP="00DE5E18">
      <w:pPr>
        <w:rPr>
          <w:b/>
          <w:bCs/>
          <w:u w:val="single"/>
        </w:rPr>
      </w:pPr>
    </w:p>
    <w:p w:rsidR="00F51C6E" w:rsidRPr="00494FA9" w:rsidRDefault="00F51C6E" w:rsidP="00DE5E18">
      <w:pPr>
        <w:rPr>
          <w:b/>
          <w:bCs/>
          <w:u w:val="single"/>
        </w:rPr>
      </w:pPr>
    </w:p>
    <w:p w:rsidR="00CB0CC3" w:rsidRPr="00494FA9" w:rsidRDefault="00CB0CC3" w:rsidP="00DE5E18">
      <w:pPr>
        <w:rPr>
          <w:b/>
          <w:bCs/>
          <w:u w:val="single"/>
        </w:rPr>
      </w:pPr>
    </w:p>
    <w:p w:rsidR="00F51C6E" w:rsidRPr="00494FA9" w:rsidRDefault="00F51C6E" w:rsidP="00DE5E18">
      <w:pPr>
        <w:rPr>
          <w:b/>
          <w:bCs/>
          <w:u w:val="single"/>
        </w:rPr>
      </w:pPr>
    </w:p>
    <w:p w:rsidR="00DE5E18" w:rsidRPr="00494FA9" w:rsidRDefault="00DE5E18" w:rsidP="00DE5E18">
      <w:pPr>
        <w:rPr>
          <w:b/>
          <w:bCs/>
          <w:u w:val="single"/>
        </w:rPr>
      </w:pPr>
      <w:r w:rsidRPr="00494FA9">
        <w:rPr>
          <w:b/>
          <w:bCs/>
          <w:u w:val="single"/>
        </w:rPr>
        <w:lastRenderedPageBreak/>
        <w:t>Attachment: New Horizon 2020 work programmes</w:t>
      </w:r>
    </w:p>
    <w:p w:rsidR="00DE5E18" w:rsidRPr="00494FA9" w:rsidRDefault="00F51C6E" w:rsidP="00DE5E18">
      <w:pPr>
        <w:spacing w:line="360" w:lineRule="auto"/>
      </w:pPr>
      <w:r w:rsidRPr="00494FA9">
        <w:t xml:space="preserve">Please find here </w:t>
      </w:r>
      <w:r w:rsidRPr="00494FA9">
        <w:rPr>
          <w:b/>
        </w:rPr>
        <w:t>some indicative c</w:t>
      </w:r>
      <w:r w:rsidR="00DE5E18" w:rsidRPr="00494FA9">
        <w:rPr>
          <w:b/>
        </w:rPr>
        <w:t>alls</w:t>
      </w:r>
      <w:r w:rsidR="00DE5E18" w:rsidRPr="00494FA9">
        <w:t xml:space="preserve"> </w:t>
      </w:r>
      <w:r w:rsidRPr="00494FA9">
        <w:t xml:space="preserve">in the </w:t>
      </w:r>
      <w:r w:rsidRPr="00494FA9">
        <w:t>3 SCs in Horizon 2020 work programme for 2016-2017</w:t>
      </w:r>
      <w:r w:rsidRPr="00494FA9">
        <w:t xml:space="preserve"> </w:t>
      </w:r>
      <w:r w:rsidR="00DE5E18" w:rsidRPr="00494FA9">
        <w:t>which encourage the participation of third countries</w:t>
      </w:r>
      <w:r w:rsidRPr="00494FA9">
        <w:t>.</w:t>
      </w:r>
      <w:r w:rsidR="004E6D87" w:rsidRPr="00494FA9">
        <w:t xml:space="preserve"> </w:t>
      </w:r>
      <w:r w:rsidRPr="00494FA9">
        <w:t xml:space="preserve"> </w:t>
      </w:r>
    </w:p>
    <w:p w:rsidR="00DE5E18" w:rsidRPr="00494FA9" w:rsidRDefault="00DE5E18" w:rsidP="00DE5E18">
      <w:pPr>
        <w:spacing w:line="360" w:lineRule="auto"/>
      </w:pPr>
    </w:p>
    <w:p w:rsidR="00DE5E18" w:rsidRPr="00494FA9" w:rsidRDefault="00DE5E18" w:rsidP="00DE5E18">
      <w:pPr>
        <w:spacing w:line="360" w:lineRule="auto"/>
        <w:rPr>
          <w:b/>
        </w:rPr>
      </w:pPr>
      <w:r w:rsidRPr="00494FA9">
        <w:rPr>
          <w:b/>
        </w:rPr>
        <w:t xml:space="preserve">Health - H2020-SC1-2016-2017 </w:t>
      </w:r>
    </w:p>
    <w:p w:rsidR="00DE5E18" w:rsidRPr="00494FA9" w:rsidRDefault="00DE5E18" w:rsidP="00DE5E18">
      <w:pPr>
        <w:spacing w:line="360" w:lineRule="auto"/>
      </w:pPr>
      <w:r w:rsidRPr="00494FA9">
        <w:t>Understanding health, well-being and disease</w:t>
      </w:r>
    </w:p>
    <w:p w:rsidR="00DE5E18" w:rsidRPr="00494FA9" w:rsidRDefault="00DE5E18" w:rsidP="00DE5E18">
      <w:pPr>
        <w:spacing w:line="360" w:lineRule="auto"/>
        <w:rPr>
          <w:i/>
        </w:rPr>
      </w:pPr>
      <w:r w:rsidRPr="00494FA9">
        <w:rPr>
          <w:i/>
        </w:rPr>
        <w:t xml:space="preserve">SC1-PM-01-2016: Multi </w:t>
      </w:r>
      <w:proofErr w:type="spellStart"/>
      <w:r w:rsidRPr="00494FA9">
        <w:rPr>
          <w:i/>
        </w:rPr>
        <w:t>omics</w:t>
      </w:r>
      <w:proofErr w:type="spellEnd"/>
      <w:r w:rsidRPr="00494FA9">
        <w:rPr>
          <w:i/>
        </w:rPr>
        <w:t xml:space="preserve"> for personalised therapies addressing diseases of the immune system </w:t>
      </w:r>
    </w:p>
    <w:p w:rsidR="00DE5E18" w:rsidRPr="00494FA9" w:rsidRDefault="00DE5E18" w:rsidP="00DE5E18">
      <w:pPr>
        <w:spacing w:line="360" w:lineRule="auto"/>
      </w:pPr>
      <w:r w:rsidRPr="00494FA9">
        <w:t xml:space="preserve">Proposals should address relevant ethical implications, take into account sex and gender differences and include a section on research data management. International cooperation is requested. In line with the Union's strategy for international cooperation in research and innovation proposals should create strategic synergies between scientists across disciplines, sectors and around the globe. </w:t>
      </w:r>
    </w:p>
    <w:p w:rsidR="00DE5E18" w:rsidRPr="00494FA9" w:rsidRDefault="00DE5E18" w:rsidP="00DE5E18">
      <w:pPr>
        <w:spacing w:line="360" w:lineRule="auto"/>
        <w:rPr>
          <w:i/>
        </w:rPr>
      </w:pPr>
      <w:bookmarkStart w:id="6" w:name="_GoBack"/>
      <w:bookmarkEnd w:id="6"/>
      <w:r w:rsidRPr="00494FA9">
        <w:rPr>
          <w:i/>
        </w:rPr>
        <w:t xml:space="preserve">SC1-PM-04–2016: Networking and optimising the use of population and patient cohorts at EU level </w:t>
      </w:r>
    </w:p>
    <w:p w:rsidR="00DE5E18" w:rsidRPr="00494FA9" w:rsidRDefault="00DE5E18" w:rsidP="00DE5E18">
      <w:pPr>
        <w:spacing w:line="360" w:lineRule="auto"/>
      </w:pPr>
      <w:r w:rsidRPr="00494FA9">
        <w:t>Synergies with relevant existing European infrastructures and additional collaborations with relevant international initiatives are encouraged. Proposals should also engage with relevant international/national/regional authorities to ensure that findings are implemented and translated into health policy.</w:t>
      </w:r>
    </w:p>
    <w:p w:rsidR="00DE5E18" w:rsidRPr="00494FA9" w:rsidRDefault="00DE5E18" w:rsidP="00DE5E18">
      <w:pPr>
        <w:spacing w:line="360" w:lineRule="auto"/>
        <w:rPr>
          <w:i/>
        </w:rPr>
      </w:pPr>
      <w:r w:rsidRPr="00494FA9">
        <w:rPr>
          <w:i/>
        </w:rPr>
        <w:t>SC1-PM-21-2016: Implementation research for scaling-up of evidence based innovations and good practice in Europe and low- and middle-income countries</w:t>
      </w:r>
    </w:p>
    <w:p w:rsidR="00DE5E18" w:rsidRPr="00494FA9" w:rsidRDefault="00DE5E18" w:rsidP="00DE5E18">
      <w:pPr>
        <w:spacing w:line="360" w:lineRule="auto"/>
      </w:pPr>
      <w:r w:rsidRPr="00494FA9">
        <w:t xml:space="preserve">Proposals should seek to replicate and scale up a comprehensive intervention in the field of health systems that is innovative and well-researched, supported by sufficient documented evidence. This scaling up can take place within Europe as well as outside it, notably in low- and middle-income countries. </w:t>
      </w:r>
    </w:p>
    <w:p w:rsidR="00DE5E18" w:rsidRPr="00494FA9" w:rsidRDefault="00DE5E18" w:rsidP="00DE5E18">
      <w:pPr>
        <w:spacing w:line="360" w:lineRule="auto"/>
      </w:pPr>
    </w:p>
    <w:p w:rsidR="00DE5E18" w:rsidRPr="00494FA9" w:rsidRDefault="00DE5E18" w:rsidP="00DE5E18">
      <w:pPr>
        <w:spacing w:line="360" w:lineRule="auto"/>
      </w:pPr>
    </w:p>
    <w:p w:rsidR="00DE5E18" w:rsidRPr="00494FA9" w:rsidRDefault="00DE5E18" w:rsidP="00DE5E18">
      <w:pPr>
        <w:spacing w:line="360" w:lineRule="auto"/>
        <w:rPr>
          <w:b/>
        </w:rPr>
      </w:pPr>
      <w:r w:rsidRPr="00494FA9">
        <w:rPr>
          <w:b/>
        </w:rPr>
        <w:t xml:space="preserve">Energy - H2020-SC3-2016-2017 </w:t>
      </w:r>
    </w:p>
    <w:p w:rsidR="00DE5E18" w:rsidRPr="00494FA9" w:rsidRDefault="00DE5E18" w:rsidP="00DE5E18">
      <w:pPr>
        <w:spacing w:line="360" w:lineRule="auto"/>
        <w:rPr>
          <w:i/>
        </w:rPr>
      </w:pPr>
      <w:r w:rsidRPr="00494FA9">
        <w:rPr>
          <w:i/>
        </w:rPr>
        <w:t>SCC-1-2016-2017: Smart Cities and Communities lighthouse projects</w:t>
      </w:r>
    </w:p>
    <w:p w:rsidR="00DE5E18" w:rsidRPr="00494FA9" w:rsidRDefault="00DE5E18" w:rsidP="00DE5E18">
      <w:pPr>
        <w:spacing w:line="360" w:lineRule="auto"/>
      </w:pPr>
      <w:r w:rsidRPr="00494FA9">
        <w:rPr>
          <w:i/>
        </w:rPr>
        <w:t>LCE-6-2017: New knowledge and technologies/Wind energy</w:t>
      </w:r>
    </w:p>
    <w:p w:rsidR="00DE5E18" w:rsidRPr="00494FA9" w:rsidRDefault="00DE5E18" w:rsidP="00DE5E18">
      <w:pPr>
        <w:spacing w:line="360" w:lineRule="auto"/>
      </w:pPr>
      <w:r w:rsidRPr="00494FA9">
        <w:t>International cooperation with leading groups outside Europe is encouraged.</w:t>
      </w:r>
      <w:r w:rsidRPr="00494FA9">
        <w:cr/>
      </w:r>
    </w:p>
    <w:p w:rsidR="00DE5E18" w:rsidRPr="00494FA9" w:rsidRDefault="00DE5E18" w:rsidP="00DE5E18">
      <w:pPr>
        <w:spacing w:line="360" w:lineRule="auto"/>
        <w:rPr>
          <w:b/>
        </w:rPr>
      </w:pPr>
      <w:r w:rsidRPr="00494FA9">
        <w:rPr>
          <w:b/>
        </w:rPr>
        <w:t xml:space="preserve">Climate Action - H2020-SC5-2016-2017 </w:t>
      </w:r>
    </w:p>
    <w:p w:rsidR="00DE5E18" w:rsidRPr="00494FA9" w:rsidRDefault="00DE5E18" w:rsidP="00DE5E18">
      <w:pPr>
        <w:spacing w:line="360" w:lineRule="auto"/>
        <w:rPr>
          <w:i/>
        </w:rPr>
      </w:pPr>
      <w:r w:rsidRPr="00494FA9">
        <w:rPr>
          <w:i/>
        </w:rPr>
        <w:t>SC5-02-2017: Integrated European regional modelling and climate prediction system</w:t>
      </w:r>
    </w:p>
    <w:p w:rsidR="00DE5E18" w:rsidRPr="00494FA9" w:rsidRDefault="00DE5E18" w:rsidP="00DE5E18">
      <w:pPr>
        <w:spacing w:line="360" w:lineRule="auto"/>
      </w:pPr>
      <w:r w:rsidRPr="00494FA9">
        <w:t>In line with the strategy for EU international cooperation in research and innovation (</w:t>
      </w:r>
      <w:proofErr w:type="gramStart"/>
      <w:r w:rsidRPr="00494FA9">
        <w:t>COM(</w:t>
      </w:r>
      <w:proofErr w:type="gramEnd"/>
      <w:r w:rsidRPr="00494FA9">
        <w:t>2012)497), international cooperation is encouraged, in particular with countries having developed similar systems and with countries wishing to develop capacities.</w:t>
      </w:r>
    </w:p>
    <w:p w:rsidR="00DE5E18" w:rsidRPr="00494FA9" w:rsidRDefault="00DE5E18" w:rsidP="00DE5E18">
      <w:pPr>
        <w:spacing w:line="360" w:lineRule="auto"/>
        <w:rPr>
          <w:i/>
        </w:rPr>
      </w:pPr>
      <w:r w:rsidRPr="00494FA9">
        <w:rPr>
          <w:i/>
        </w:rPr>
        <w:t xml:space="preserve">SC5-05-2016: </w:t>
      </w:r>
      <w:proofErr w:type="gramStart"/>
      <w:r w:rsidRPr="00494FA9">
        <w:rPr>
          <w:i/>
        </w:rPr>
        <w:t>A 1.5 million year look</w:t>
      </w:r>
      <w:proofErr w:type="gramEnd"/>
      <w:r w:rsidRPr="00494FA9">
        <w:rPr>
          <w:i/>
        </w:rPr>
        <w:t xml:space="preserve"> into the past for improving climate predictions </w:t>
      </w:r>
    </w:p>
    <w:p w:rsidR="00DE5E18" w:rsidRPr="00494FA9" w:rsidRDefault="00DE5E18" w:rsidP="00DE5E18">
      <w:pPr>
        <w:spacing w:line="360" w:lineRule="auto"/>
      </w:pPr>
      <w:r w:rsidRPr="00494FA9">
        <w:t>In line with the strategy for EU international cooperation in research and innovation (</w:t>
      </w:r>
      <w:proofErr w:type="gramStart"/>
      <w:r w:rsidRPr="00494FA9">
        <w:t>COM(</w:t>
      </w:r>
      <w:proofErr w:type="gramEnd"/>
      <w:r w:rsidRPr="00494FA9">
        <w:t xml:space="preserve">2012)497), international cooperation is encouraged. </w:t>
      </w:r>
    </w:p>
    <w:p w:rsidR="00DE5E18" w:rsidRPr="00494FA9" w:rsidRDefault="00DE5E18" w:rsidP="00DE5E18">
      <w:pPr>
        <w:spacing w:line="360" w:lineRule="auto"/>
        <w:rPr>
          <w:i/>
        </w:rPr>
      </w:pPr>
      <w:r w:rsidRPr="00494FA9">
        <w:rPr>
          <w:i/>
        </w:rPr>
        <w:t xml:space="preserve">SC5-06-2016-2017: Pathways towards the decarbonisation and resilience of the European economy in the timeframe 2030-2050 and beyond </w:t>
      </w:r>
    </w:p>
    <w:p w:rsidR="00DE5E18" w:rsidRPr="00494FA9" w:rsidRDefault="00DE5E18" w:rsidP="00DE5E18">
      <w:pPr>
        <w:spacing w:line="360" w:lineRule="auto"/>
      </w:pPr>
      <w:r w:rsidRPr="00494FA9">
        <w:t>b) Assessment of the global mitigation efforts in the perspective of the long-term climate goal (2016)</w:t>
      </w:r>
    </w:p>
    <w:p w:rsidR="00DE5E18" w:rsidRPr="00494FA9" w:rsidRDefault="00DE5E18" w:rsidP="00DE5E18">
      <w:pPr>
        <w:spacing w:line="360" w:lineRule="auto"/>
      </w:pPr>
      <w:r w:rsidRPr="00494FA9">
        <w:t>In line with the strategy for EU international cooperation in research and innovation (</w:t>
      </w:r>
      <w:proofErr w:type="gramStart"/>
      <w:r w:rsidRPr="00494FA9">
        <w:t>COM(</w:t>
      </w:r>
      <w:proofErr w:type="gramEnd"/>
      <w:r w:rsidRPr="00494FA9">
        <w:t xml:space="preserve">2012)497), international cooperation is encouraged, in particular with countries that substantially contribute to global greenhouse gas emissions. Proposals should include partners from (non-European) high-, middle- and/or low-income countries. </w:t>
      </w:r>
    </w:p>
    <w:p w:rsidR="00375D73" w:rsidRPr="00494FA9" w:rsidRDefault="00375D73" w:rsidP="00375D73">
      <w:pPr>
        <w:spacing w:line="360" w:lineRule="auto"/>
        <w:rPr>
          <w:i/>
        </w:rPr>
      </w:pPr>
      <w:r w:rsidRPr="00494FA9">
        <w:rPr>
          <w:i/>
        </w:rPr>
        <w:t>SC5-08-2017: Large-scale demonstrators on nature-based solutions for hydro-meteorological risk reduction</w:t>
      </w:r>
    </w:p>
    <w:p w:rsidR="00375D73" w:rsidRPr="00494FA9" w:rsidRDefault="00375D73" w:rsidP="00375D73">
      <w:pPr>
        <w:spacing w:line="360" w:lineRule="auto"/>
      </w:pPr>
      <w:r w:rsidRPr="00494FA9">
        <w:lastRenderedPageBreak/>
        <w:t>In line with the strategy for EU international cooperation in research and innovation (COM(2012)497), cooperation and synergies with similar international demonstration activities on nature-based solutions for hydro-meteorological risk reduction and climate change adaptation, funded under different financial arrangements or programmes, is encouraged to facilitate mutual learning, sharing of experience, networking and follow-up.</w:t>
      </w:r>
    </w:p>
    <w:p w:rsidR="00DE5E18" w:rsidRPr="00494FA9" w:rsidRDefault="00DE5E18" w:rsidP="00DE5E18">
      <w:pPr>
        <w:spacing w:line="360" w:lineRule="auto"/>
        <w:rPr>
          <w:i/>
        </w:rPr>
      </w:pPr>
      <w:r w:rsidRPr="00494FA9">
        <w:rPr>
          <w:i/>
        </w:rPr>
        <w:t xml:space="preserve">SC5-11-2016: Supporting international cooperation activities on water </w:t>
      </w:r>
    </w:p>
    <w:p w:rsidR="00DE5E18" w:rsidRPr="00494FA9" w:rsidRDefault="00DE5E18" w:rsidP="00DE5E18">
      <w:pPr>
        <w:spacing w:line="360" w:lineRule="auto"/>
      </w:pPr>
      <w:r w:rsidRPr="00494FA9">
        <w:t xml:space="preserve">The challenge is to further enhance the opening of the Water JPI to international cooperation and thus contribute to creating a coherent European Research Area that is open to international cooperation in the area of water – a global research and innovation challenge par excellence. </w:t>
      </w:r>
    </w:p>
    <w:p w:rsidR="00DE5E18" w:rsidRPr="00494FA9" w:rsidRDefault="00DE5E18" w:rsidP="00DE5E18">
      <w:pPr>
        <w:spacing w:line="360" w:lineRule="auto"/>
        <w:rPr>
          <w:i/>
        </w:rPr>
      </w:pPr>
      <w:r w:rsidRPr="00494FA9">
        <w:rPr>
          <w:i/>
        </w:rPr>
        <w:t xml:space="preserve">SC5-13-2016-2017: New solutions for sustainable production of raw materials </w:t>
      </w:r>
    </w:p>
    <w:p w:rsidR="00DE5E18" w:rsidRPr="00494FA9" w:rsidRDefault="00DE5E18" w:rsidP="00DE5E18">
      <w:pPr>
        <w:spacing w:line="360" w:lineRule="auto"/>
      </w:pPr>
      <w:r w:rsidRPr="00494FA9">
        <w:t>In line with the EU's strategy for international co-operation in research and innovation (</w:t>
      </w:r>
      <w:proofErr w:type="gramStart"/>
      <w:r w:rsidRPr="00494FA9">
        <w:t>COM(</w:t>
      </w:r>
      <w:proofErr w:type="gramEnd"/>
      <w:r w:rsidRPr="00494FA9">
        <w:t>2012)497) international co-operation is encouraged.</w:t>
      </w:r>
    </w:p>
    <w:p w:rsidR="00DE5E18" w:rsidRPr="00494FA9" w:rsidRDefault="00DE5E18" w:rsidP="00DE5E18">
      <w:pPr>
        <w:spacing w:line="360" w:lineRule="auto"/>
      </w:pPr>
      <w:r w:rsidRPr="00494FA9">
        <w:t xml:space="preserve">Proposals shall address only one of the following issues: </w:t>
      </w:r>
    </w:p>
    <w:p w:rsidR="00DE5E18" w:rsidRPr="00494FA9" w:rsidRDefault="00DE5E18" w:rsidP="00375D73">
      <w:r w:rsidRPr="00494FA9">
        <w:t>a)</w:t>
      </w:r>
      <w:r w:rsidRPr="00494FA9">
        <w:tab/>
        <w:t>Sustainable selective low impact mining (2016):</w:t>
      </w:r>
    </w:p>
    <w:p w:rsidR="00DE5E18" w:rsidRPr="00494FA9" w:rsidRDefault="00DE5E18" w:rsidP="00375D73">
      <w:r w:rsidRPr="00494FA9">
        <w:t>b)</w:t>
      </w:r>
      <w:r w:rsidRPr="00494FA9">
        <w:tab/>
        <w:t>New technologies for the enhanced recovery of by-products (2016)</w:t>
      </w:r>
    </w:p>
    <w:p w:rsidR="00DE5E18" w:rsidRPr="00494FA9" w:rsidRDefault="00DE5E18" w:rsidP="00375D73">
      <w:r w:rsidRPr="00494FA9">
        <w:t>c)</w:t>
      </w:r>
      <w:r w:rsidRPr="00494FA9">
        <w:tab/>
        <w:t>New sensitive exploration technologies (2017)</w:t>
      </w:r>
    </w:p>
    <w:p w:rsidR="00DE5E18" w:rsidRPr="00494FA9" w:rsidRDefault="00DE5E18" w:rsidP="00DE5E18">
      <w:pPr>
        <w:spacing w:line="360" w:lineRule="auto"/>
        <w:rPr>
          <w:i/>
        </w:rPr>
      </w:pPr>
      <w:r w:rsidRPr="00494FA9">
        <w:rPr>
          <w:i/>
        </w:rPr>
        <w:t>SC5-14-2016-2017: Raw materials Innovation actions</w:t>
      </w:r>
    </w:p>
    <w:p w:rsidR="00DE5E18" w:rsidRPr="00494FA9" w:rsidRDefault="00DE5E18" w:rsidP="00DE5E18">
      <w:pPr>
        <w:spacing w:line="360" w:lineRule="auto"/>
      </w:pPr>
      <w:r w:rsidRPr="00494FA9">
        <w:t>In line with the EU's strategy for international co-operation in research and innovation (</w:t>
      </w:r>
      <w:proofErr w:type="gramStart"/>
      <w:r w:rsidRPr="00494FA9">
        <w:t>COM(</w:t>
      </w:r>
      <w:proofErr w:type="gramEnd"/>
      <w:r w:rsidRPr="00494FA9">
        <w:t>2012)497) international cooperation is encouraged.</w:t>
      </w:r>
    </w:p>
    <w:p w:rsidR="00DE5E18" w:rsidRPr="00494FA9" w:rsidRDefault="00DE5E18" w:rsidP="00DE5E18">
      <w:pPr>
        <w:spacing w:line="360" w:lineRule="auto"/>
      </w:pPr>
      <w:r w:rsidRPr="00494FA9">
        <w:t xml:space="preserve">Proposals shall address only one of the following issues: </w:t>
      </w:r>
    </w:p>
    <w:p w:rsidR="00DE5E18" w:rsidRPr="00494FA9" w:rsidRDefault="00DE5E18" w:rsidP="00375D73">
      <w:r w:rsidRPr="00494FA9">
        <w:t>a)</w:t>
      </w:r>
      <w:r w:rsidRPr="00494FA9">
        <w:tab/>
        <w:t>Intelligent mining on land (2016)</w:t>
      </w:r>
    </w:p>
    <w:p w:rsidR="00DE5E18" w:rsidRPr="00494FA9" w:rsidRDefault="00DE5E18" w:rsidP="00375D73">
      <w:r w:rsidRPr="00494FA9">
        <w:t>b)</w:t>
      </w:r>
      <w:r w:rsidRPr="00494FA9">
        <w:tab/>
        <w:t>Processing of lower grade and/or complex primary and/or secondary raw materials in the most sustainable ways (2017)</w:t>
      </w:r>
    </w:p>
    <w:p w:rsidR="00DE5E18" w:rsidRPr="00494FA9" w:rsidRDefault="00DE5E18" w:rsidP="00375D73">
      <w:r w:rsidRPr="00494FA9">
        <w:t>c)</w:t>
      </w:r>
      <w:r w:rsidRPr="00494FA9">
        <w:tab/>
        <w:t>Sustainable metallurgical processes (2017)</w:t>
      </w:r>
    </w:p>
    <w:p w:rsidR="00DE5E18" w:rsidRPr="00494FA9" w:rsidRDefault="00DE5E18" w:rsidP="00DE5E18">
      <w:pPr>
        <w:spacing w:line="360" w:lineRule="auto"/>
        <w:rPr>
          <w:i/>
        </w:rPr>
      </w:pPr>
      <w:r w:rsidRPr="00494FA9">
        <w:rPr>
          <w:i/>
        </w:rPr>
        <w:t>SC5-16-2016-2017: Raw materials international co-operation</w:t>
      </w:r>
    </w:p>
    <w:p w:rsidR="00DE5E18" w:rsidRPr="00494FA9" w:rsidRDefault="00DE5E18" w:rsidP="00DE5E18">
      <w:pPr>
        <w:spacing w:line="360" w:lineRule="auto"/>
      </w:pPr>
      <w:r w:rsidRPr="00494FA9">
        <w:t>b) Advancing the idea of a World Forum on Raw Materials (2016)</w:t>
      </w:r>
    </w:p>
    <w:p w:rsidR="00DE5E18" w:rsidRPr="00494FA9" w:rsidRDefault="00DE5E18" w:rsidP="00DE5E18">
      <w:pPr>
        <w:spacing w:line="360" w:lineRule="auto"/>
      </w:pPr>
      <w:r w:rsidRPr="00494FA9">
        <w:lastRenderedPageBreak/>
        <w:t>In line with the strategy for EU international co-operation in research and innovation (COM(2012)497), international co-operation is required, in particular with G20 Member countries as well as the other third countries active in the mining and other raw materials sectors, and international organisations.</w:t>
      </w:r>
    </w:p>
    <w:p w:rsidR="00DE5E18" w:rsidRPr="00494FA9" w:rsidRDefault="00DE5E18" w:rsidP="00DE5E18">
      <w:pPr>
        <w:spacing w:line="360" w:lineRule="auto"/>
      </w:pPr>
      <w:r w:rsidRPr="00494FA9">
        <w:t>c) International network of raw materials training centres (2017)</w:t>
      </w:r>
    </w:p>
    <w:p w:rsidR="00DE5E18" w:rsidRPr="00494FA9" w:rsidRDefault="00DE5E18" w:rsidP="00DE5E18">
      <w:pPr>
        <w:spacing w:line="360" w:lineRule="auto"/>
      </w:pPr>
      <w:r w:rsidRPr="00494FA9">
        <w:t>In line with the EU's strategy for international co-operation in research and innovation (</w:t>
      </w:r>
      <w:proofErr w:type="gramStart"/>
      <w:r w:rsidRPr="00494FA9">
        <w:t>COM(</w:t>
      </w:r>
      <w:proofErr w:type="gramEnd"/>
      <w:r w:rsidRPr="00494FA9">
        <w:t>2012)497), international collaboration is required.</w:t>
      </w:r>
    </w:p>
    <w:p w:rsidR="00DE5E18" w:rsidRPr="00494FA9" w:rsidRDefault="00DE5E18" w:rsidP="00DE5E18">
      <w:pPr>
        <w:spacing w:line="360" w:lineRule="auto"/>
      </w:pPr>
    </w:p>
    <w:p w:rsidR="008356E1" w:rsidRPr="00494FA9" w:rsidRDefault="008356E1" w:rsidP="00BC0AED">
      <w:pPr>
        <w:spacing w:line="360" w:lineRule="auto"/>
      </w:pPr>
    </w:p>
    <w:sectPr w:rsidR="008356E1" w:rsidRPr="00494FA9">
      <w:headerReference w:type="default" r:id="rId17"/>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59" w:rsidRDefault="00456159" w:rsidP="009E3612">
      <w:pPr>
        <w:spacing w:before="0"/>
      </w:pPr>
      <w:r>
        <w:separator/>
      </w:r>
    </w:p>
  </w:endnote>
  <w:endnote w:type="continuationSeparator" w:id="0">
    <w:p w:rsidR="00456159" w:rsidRDefault="00456159" w:rsidP="009E36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716"/>
      <w:gridCol w:w="222"/>
    </w:tblGrid>
    <w:tr w:rsidR="00310D6C" w:rsidRPr="00310D6C" w:rsidTr="006A5FA6">
      <w:tc>
        <w:tcPr>
          <w:tcW w:w="0" w:type="auto"/>
        </w:tcPr>
        <w:p w:rsidR="00310D6C" w:rsidRPr="00310D6C" w:rsidRDefault="00310D6C" w:rsidP="00310D6C">
          <w:pPr>
            <w:tabs>
              <w:tab w:val="center" w:pos="4153"/>
              <w:tab w:val="right" w:pos="8306"/>
            </w:tabs>
            <w:spacing w:before="0"/>
            <w:jc w:val="left"/>
            <w:rPr>
              <w:lang w:eastAsia="el-GR"/>
            </w:rPr>
          </w:pPr>
          <w:r w:rsidRPr="00310D6C">
            <w:rPr>
              <w:noProof/>
              <w:lang w:val="hu-HU" w:eastAsia="hu-HU"/>
            </w:rPr>
            <w:drawing>
              <wp:inline distT="0" distB="0" distL="0" distR="0" wp14:anchorId="3DFE8572" wp14:editId="68522D12">
                <wp:extent cx="942975" cy="638175"/>
                <wp:effectExtent l="0" t="0" r="9525" b="9525"/>
                <wp:docPr id="2" name="Kép 2" descr="http://www.euroesprit.org/content/delta2/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euroesprit.org/content/delta2/EU_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inline>
            </w:drawing>
          </w:r>
          <w:r w:rsidRPr="00310D6C">
            <w:rPr>
              <w:rFonts w:ascii="Calibri Light" w:hAnsi="Calibri Light"/>
              <w:i/>
              <w:iCs/>
              <w:color w:val="1F497D"/>
              <w:sz w:val="22"/>
              <w:szCs w:val="22"/>
              <w:shd w:val="clear" w:color="auto" w:fill="FFFFFF"/>
              <w:lang w:eastAsia="el-GR"/>
            </w:rPr>
            <w:t xml:space="preserve"> </w:t>
          </w:r>
        </w:p>
      </w:tc>
      <w:tc>
        <w:tcPr>
          <w:tcW w:w="0" w:type="auto"/>
        </w:tcPr>
        <w:p w:rsidR="00310D6C" w:rsidRPr="00310D6C" w:rsidRDefault="00310D6C" w:rsidP="00310D6C">
          <w:pPr>
            <w:tabs>
              <w:tab w:val="center" w:pos="4153"/>
              <w:tab w:val="right" w:pos="8306"/>
            </w:tabs>
            <w:spacing w:before="0"/>
            <w:jc w:val="left"/>
            <w:rPr>
              <w:lang w:eastAsia="el-GR"/>
            </w:rPr>
          </w:pPr>
          <w:r w:rsidRPr="00310D6C">
            <w:rPr>
              <w:noProof/>
              <w:lang w:val="hu-HU" w:eastAsia="hu-HU"/>
            </w:rPr>
            <mc:AlternateContent>
              <mc:Choice Requires="wps">
                <w:drawing>
                  <wp:anchor distT="0" distB="0" distL="114300" distR="114300" simplePos="0" relativeHeight="251659264" behindDoc="0" locked="0" layoutInCell="1" allowOverlap="1" wp14:anchorId="3397F065" wp14:editId="66EE18E6">
                    <wp:simplePos x="0" y="0"/>
                    <wp:positionH relativeFrom="column">
                      <wp:posOffset>22860</wp:posOffset>
                    </wp:positionH>
                    <wp:positionV relativeFrom="paragraph">
                      <wp:posOffset>66675</wp:posOffset>
                    </wp:positionV>
                    <wp:extent cx="5086350" cy="840105"/>
                    <wp:effectExtent l="0" t="0" r="19050" b="1714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840105"/>
                            </a:xfrm>
                            <a:prstGeom prst="rect">
                              <a:avLst/>
                            </a:prstGeom>
                            <a:solidFill>
                              <a:srgbClr val="FFFFFF"/>
                            </a:solidFill>
                            <a:ln w="9525">
                              <a:solidFill>
                                <a:srgbClr val="000000"/>
                              </a:solidFill>
                              <a:miter lim="800000"/>
                              <a:headEnd/>
                              <a:tailEnd/>
                            </a:ln>
                          </wps:spPr>
                          <wps:txbx>
                            <w:txbxContent>
                              <w:p w:rsidR="00310D6C" w:rsidRPr="00105514" w:rsidRDefault="00310D6C" w:rsidP="00310D6C">
                                <w:pPr>
                                  <w:rPr>
                                    <w:lang w:val="hu-HU"/>
                                  </w:rPr>
                                </w:pPr>
                                <w:proofErr w:type="spellStart"/>
                                <w:r w:rsidRPr="00105514">
                                  <w:rPr>
                                    <w:iCs/>
                                    <w:color w:val="1F497D"/>
                                    <w:sz w:val="22"/>
                                    <w:szCs w:val="22"/>
                                    <w:shd w:val="clear" w:color="auto" w:fill="FFFFFF"/>
                                  </w:rPr>
                                  <w:t>IncoNet</w:t>
                                </w:r>
                                <w:proofErr w:type="spellEnd"/>
                                <w:r w:rsidRPr="00105514">
                                  <w:rPr>
                                    <w:iCs/>
                                    <w:color w:val="1F497D"/>
                                    <w:sz w:val="22"/>
                                    <w:szCs w:val="22"/>
                                    <w:shd w:val="clear" w:color="auto" w:fill="FFFFFF"/>
                                  </w:rPr>
                                  <w:t xml:space="preserve"> </w:t>
                                </w:r>
                                <w:proofErr w:type="spellStart"/>
                                <w:r w:rsidRPr="00105514">
                                  <w:rPr>
                                    <w:iCs/>
                                    <w:color w:val="1F497D"/>
                                    <w:sz w:val="22"/>
                                    <w:szCs w:val="22"/>
                                    <w:shd w:val="clear" w:color="auto" w:fill="FFFFFF"/>
                                  </w:rPr>
                                  <w:t>EaP</w:t>
                                </w:r>
                                <w:proofErr w:type="spellEnd"/>
                                <w:r w:rsidRPr="00105514">
                                  <w:rPr>
                                    <w:iCs/>
                                    <w:color w:val="1F497D"/>
                                    <w:sz w:val="22"/>
                                    <w:szCs w:val="22"/>
                                    <w:shd w:val="clear" w:color="auto" w:fill="FFFFFF"/>
                                  </w:rPr>
                                  <w:t xml:space="preserve"> </w:t>
                                </w:r>
                                <w:r w:rsidR="00CB0CC3">
                                  <w:rPr>
                                    <w:iCs/>
                                    <w:color w:val="1F497D"/>
                                    <w:sz w:val="22"/>
                                    <w:szCs w:val="22"/>
                                    <w:shd w:val="clear" w:color="auto" w:fill="FFFFFF"/>
                                  </w:rPr>
                                  <w:t>has</w:t>
                                </w:r>
                                <w:r w:rsidRPr="00105514">
                                  <w:rPr>
                                    <w:iCs/>
                                    <w:color w:val="1F497D"/>
                                    <w:sz w:val="22"/>
                                    <w:szCs w:val="22"/>
                                    <w:shd w:val="clear" w:color="auto" w:fill="FFFFFF"/>
                                  </w:rPr>
                                  <w:t xml:space="preserve"> received funding from the European Union’s Seventh Framework Programme for </w:t>
                                </w:r>
                                <w:proofErr w:type="gramStart"/>
                                <w:r w:rsidRPr="00105514">
                                  <w:rPr>
                                    <w:iCs/>
                                    <w:color w:val="1F497D"/>
                                    <w:sz w:val="22"/>
                                    <w:szCs w:val="22"/>
                                    <w:shd w:val="clear" w:color="auto" w:fill="FFFFFF"/>
                                  </w:rPr>
                                  <w:t>research,</w:t>
                                </w:r>
                                <w:proofErr w:type="gramEnd"/>
                                <w:r w:rsidRPr="00105514">
                                  <w:rPr>
                                    <w:iCs/>
                                    <w:color w:val="1F497D"/>
                                    <w:sz w:val="22"/>
                                    <w:szCs w:val="22"/>
                                    <w:shd w:val="clear" w:color="auto" w:fill="FFFFFF"/>
                                  </w:rPr>
                                  <w:t xml:space="preserve"> technological development and demonstration </w:t>
                                </w:r>
                                <w:r w:rsidR="00CB0CC3">
                                  <w:rPr>
                                    <w:iCs/>
                                    <w:color w:val="1F497D"/>
                                    <w:sz w:val="22"/>
                                    <w:szCs w:val="22"/>
                                    <w:shd w:val="clear" w:color="auto" w:fill="FFFFFF"/>
                                  </w:rPr>
                                  <w:t>under grant agreement</w:t>
                                </w:r>
                                <w:r w:rsidRPr="00105514">
                                  <w:rPr>
                                    <w:iCs/>
                                    <w:color w:val="1F497D"/>
                                    <w:sz w:val="22"/>
                                    <w:szCs w:val="22"/>
                                    <w:shd w:val="clear" w:color="auto" w:fill="FFFFFF"/>
                                  </w:rPr>
                                  <w:t xml:space="preserve"> no 609528 respectively.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1.8pt;margin-top:5.25pt;width:400.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">
                    <v:textbox>
                      <w:txbxContent>
                        <w:p w:rsidR="00310D6C" w:rsidRPr="00105514" w:rsidRDefault="00310D6C" w:rsidP="00310D6C">
                          <w:pPr>
                            <w:rPr>
                              <w:lang w:val="hu-HU"/>
                            </w:rPr>
                          </w:pPr>
                          <w:proofErr w:type="spellStart"/>
                          <w:r w:rsidRPr="00105514">
                            <w:rPr>
                              <w:iCs/>
                              <w:color w:val="1F497D"/>
                              <w:sz w:val="22"/>
                              <w:szCs w:val="22"/>
                              <w:shd w:val="clear" w:color="auto" w:fill="FFFFFF"/>
                            </w:rPr>
                            <w:t>IncoNet</w:t>
                          </w:r>
                          <w:proofErr w:type="spellEnd"/>
                          <w:r w:rsidRPr="00105514">
                            <w:rPr>
                              <w:iCs/>
                              <w:color w:val="1F497D"/>
                              <w:sz w:val="22"/>
                              <w:szCs w:val="22"/>
                              <w:shd w:val="clear" w:color="auto" w:fill="FFFFFF"/>
                            </w:rPr>
                            <w:t xml:space="preserve"> </w:t>
                          </w:r>
                          <w:proofErr w:type="spellStart"/>
                          <w:r w:rsidRPr="00105514">
                            <w:rPr>
                              <w:iCs/>
                              <w:color w:val="1F497D"/>
                              <w:sz w:val="22"/>
                              <w:szCs w:val="22"/>
                              <w:shd w:val="clear" w:color="auto" w:fill="FFFFFF"/>
                            </w:rPr>
                            <w:t>EaP</w:t>
                          </w:r>
                          <w:proofErr w:type="spellEnd"/>
                          <w:r w:rsidRPr="00105514">
                            <w:rPr>
                              <w:iCs/>
                              <w:color w:val="1F497D"/>
                              <w:sz w:val="22"/>
                              <w:szCs w:val="22"/>
                              <w:shd w:val="clear" w:color="auto" w:fill="FFFFFF"/>
                            </w:rPr>
                            <w:t xml:space="preserve"> </w:t>
                          </w:r>
                          <w:r w:rsidR="00CB0CC3">
                            <w:rPr>
                              <w:iCs/>
                              <w:color w:val="1F497D"/>
                              <w:sz w:val="22"/>
                              <w:szCs w:val="22"/>
                              <w:shd w:val="clear" w:color="auto" w:fill="FFFFFF"/>
                            </w:rPr>
                            <w:t>has</w:t>
                          </w:r>
                          <w:r w:rsidRPr="00105514">
                            <w:rPr>
                              <w:iCs/>
                              <w:color w:val="1F497D"/>
                              <w:sz w:val="22"/>
                              <w:szCs w:val="22"/>
                              <w:shd w:val="clear" w:color="auto" w:fill="FFFFFF"/>
                            </w:rPr>
                            <w:t xml:space="preserve"> received funding from the European Union’s Seventh Framework Programme for </w:t>
                          </w:r>
                          <w:proofErr w:type="gramStart"/>
                          <w:r w:rsidRPr="00105514">
                            <w:rPr>
                              <w:iCs/>
                              <w:color w:val="1F497D"/>
                              <w:sz w:val="22"/>
                              <w:szCs w:val="22"/>
                              <w:shd w:val="clear" w:color="auto" w:fill="FFFFFF"/>
                            </w:rPr>
                            <w:t>research,</w:t>
                          </w:r>
                          <w:proofErr w:type="gramEnd"/>
                          <w:r w:rsidRPr="00105514">
                            <w:rPr>
                              <w:iCs/>
                              <w:color w:val="1F497D"/>
                              <w:sz w:val="22"/>
                              <w:szCs w:val="22"/>
                              <w:shd w:val="clear" w:color="auto" w:fill="FFFFFF"/>
                            </w:rPr>
                            <w:t xml:space="preserve"> technological development and demonstration </w:t>
                          </w:r>
                          <w:r w:rsidR="00CB0CC3">
                            <w:rPr>
                              <w:iCs/>
                              <w:color w:val="1F497D"/>
                              <w:sz w:val="22"/>
                              <w:szCs w:val="22"/>
                              <w:shd w:val="clear" w:color="auto" w:fill="FFFFFF"/>
                            </w:rPr>
                            <w:t>under grant agreement</w:t>
                          </w:r>
                          <w:r w:rsidRPr="00105514">
                            <w:rPr>
                              <w:iCs/>
                              <w:color w:val="1F497D"/>
                              <w:sz w:val="22"/>
                              <w:szCs w:val="22"/>
                              <w:shd w:val="clear" w:color="auto" w:fill="FFFFFF"/>
                            </w:rPr>
                            <w:t xml:space="preserve"> no 609528 respectively.</w:t>
                          </w:r>
                        </w:p>
                      </w:txbxContent>
                    </v:textbox>
                  </v:shape>
                </w:pict>
              </mc:Fallback>
            </mc:AlternateContent>
          </w:r>
        </w:p>
      </w:tc>
    </w:tr>
  </w:tbl>
  <w:p w:rsidR="00310D6C" w:rsidRDefault="00310D6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59" w:rsidRDefault="00456159" w:rsidP="009E3612">
      <w:pPr>
        <w:spacing w:before="0"/>
      </w:pPr>
      <w:r>
        <w:separator/>
      </w:r>
    </w:p>
  </w:footnote>
  <w:footnote w:type="continuationSeparator" w:id="0">
    <w:p w:rsidR="00456159" w:rsidRDefault="00456159" w:rsidP="009E36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12" w:rsidRDefault="00CB0CC3" w:rsidP="00310D6C">
    <w:pPr>
      <w:pStyle w:val="lfej"/>
      <w:jc w:val="center"/>
    </w:pPr>
    <w:r>
      <w:rPr>
        <w:noProof/>
        <w:lang w:val="hu-HU" w:eastAsia="hu-HU"/>
      </w:rPr>
      <w:drawing>
        <wp:inline distT="0" distB="0" distL="0" distR="0" wp14:anchorId="7F809719" wp14:editId="0331938B">
          <wp:extent cx="1647825" cy="733453"/>
          <wp:effectExtent l="0" t="0" r="0" b="9525"/>
          <wp:docPr id="7" name="Kép 7" descr="C:\Users\Ildi\Desktop\letöl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di\Desktop\letölté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334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23"/>
    <w:multiLevelType w:val="multilevel"/>
    <w:tmpl w:val="5FD86A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5"/>
      <w:numFmt w:val="bullet"/>
      <w:lvlText w:val="-"/>
      <w:lvlJc w:val="left"/>
      <w:pPr>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1BA18F1"/>
    <w:multiLevelType w:val="hybridMultilevel"/>
    <w:tmpl w:val="7DA8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A4634"/>
    <w:multiLevelType w:val="hybridMultilevel"/>
    <w:tmpl w:val="1A080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B653F72"/>
    <w:multiLevelType w:val="hybridMultilevel"/>
    <w:tmpl w:val="022A7F42"/>
    <w:lvl w:ilvl="0" w:tplc="58B69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11CCE"/>
    <w:multiLevelType w:val="hybridMultilevel"/>
    <w:tmpl w:val="FE1895F2"/>
    <w:lvl w:ilvl="0" w:tplc="E084A4F6">
      <w:start w:val="1"/>
      <w:numFmt w:val="decimal"/>
      <w:pStyle w:val="IncoNetHeading2"/>
      <w:lvlText w:val="%1."/>
      <w:lvlJc w:val="left"/>
      <w:pPr>
        <w:ind w:left="1003" w:hanging="360"/>
      </w:pPr>
      <w:rPr>
        <w:rFonts w:hint="default"/>
        <w:color w:val="2E74B5"/>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5">
    <w:nsid w:val="48C86D4D"/>
    <w:multiLevelType w:val="hybridMultilevel"/>
    <w:tmpl w:val="D70C836E"/>
    <w:lvl w:ilvl="0" w:tplc="3522CC00">
      <w:start w:val="1"/>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D85260A"/>
    <w:multiLevelType w:val="hybridMultilevel"/>
    <w:tmpl w:val="5F00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0593B"/>
    <w:multiLevelType w:val="hybridMultilevel"/>
    <w:tmpl w:val="1F24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C739E"/>
    <w:multiLevelType w:val="hybridMultilevel"/>
    <w:tmpl w:val="A25ADD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12"/>
    <w:rsid w:val="00093F15"/>
    <w:rsid w:val="00112337"/>
    <w:rsid w:val="001B2C8A"/>
    <w:rsid w:val="001E5B99"/>
    <w:rsid w:val="00227C28"/>
    <w:rsid w:val="00310D6C"/>
    <w:rsid w:val="00321B5D"/>
    <w:rsid w:val="00375D73"/>
    <w:rsid w:val="003D2119"/>
    <w:rsid w:val="0042415D"/>
    <w:rsid w:val="00456159"/>
    <w:rsid w:val="00494FA9"/>
    <w:rsid w:val="004A748C"/>
    <w:rsid w:val="004E3DC8"/>
    <w:rsid w:val="004E6D87"/>
    <w:rsid w:val="005135B6"/>
    <w:rsid w:val="005B3DA9"/>
    <w:rsid w:val="00792B8A"/>
    <w:rsid w:val="008356E1"/>
    <w:rsid w:val="00836375"/>
    <w:rsid w:val="00886B79"/>
    <w:rsid w:val="0092049F"/>
    <w:rsid w:val="0097684B"/>
    <w:rsid w:val="009E3612"/>
    <w:rsid w:val="00A97220"/>
    <w:rsid w:val="00B52488"/>
    <w:rsid w:val="00BB03E2"/>
    <w:rsid w:val="00BC0AED"/>
    <w:rsid w:val="00BF6441"/>
    <w:rsid w:val="00CA6943"/>
    <w:rsid w:val="00CB0CC3"/>
    <w:rsid w:val="00D678EE"/>
    <w:rsid w:val="00DE5E18"/>
    <w:rsid w:val="00EB1E8D"/>
    <w:rsid w:val="00F006F5"/>
    <w:rsid w:val="00F5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612"/>
    <w:pPr>
      <w:spacing w:before="120" w:after="0" w:line="240" w:lineRule="auto"/>
      <w:jc w:val="both"/>
    </w:pPr>
    <w:rPr>
      <w:rFonts w:ascii="Times New Roman" w:eastAsia="Times New Roman" w:hAnsi="Times New Roman" w:cs="Times New Roman"/>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ncoNetHeading2">
    <w:name w:val="IncoNet Heading 2"/>
    <w:basedOn w:val="Norml"/>
    <w:qFormat/>
    <w:rsid w:val="009E3612"/>
    <w:pPr>
      <w:keepNext/>
      <w:numPr>
        <w:numId w:val="1"/>
      </w:numPr>
      <w:spacing w:before="240" w:after="120"/>
      <w:outlineLvl w:val="0"/>
    </w:pPr>
    <w:rPr>
      <w:rFonts w:cs="Arial"/>
      <w:b/>
      <w:bCs/>
      <w:color w:val="C45911"/>
      <w:kern w:val="32"/>
      <w:sz w:val="28"/>
      <w:szCs w:val="32"/>
    </w:rPr>
  </w:style>
  <w:style w:type="paragraph" w:styleId="lfej">
    <w:name w:val="header"/>
    <w:basedOn w:val="Norml"/>
    <w:link w:val="lfejChar"/>
    <w:uiPriority w:val="99"/>
    <w:unhideWhenUsed/>
    <w:rsid w:val="009E3612"/>
    <w:pPr>
      <w:tabs>
        <w:tab w:val="center" w:pos="4703"/>
        <w:tab w:val="right" w:pos="9406"/>
      </w:tabs>
      <w:spacing w:before="0"/>
    </w:pPr>
  </w:style>
  <w:style w:type="character" w:customStyle="1" w:styleId="lfejChar">
    <w:name w:val="Élőfej Char"/>
    <w:basedOn w:val="Bekezdsalapbettpusa"/>
    <w:link w:val="lfej"/>
    <w:uiPriority w:val="99"/>
    <w:rsid w:val="009E3612"/>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9E3612"/>
    <w:pPr>
      <w:tabs>
        <w:tab w:val="center" w:pos="4703"/>
        <w:tab w:val="right" w:pos="9406"/>
      </w:tabs>
      <w:spacing w:before="0"/>
    </w:pPr>
  </w:style>
  <w:style w:type="character" w:customStyle="1" w:styleId="llbChar">
    <w:name w:val="Élőláb Char"/>
    <w:basedOn w:val="Bekezdsalapbettpusa"/>
    <w:link w:val="llb"/>
    <w:uiPriority w:val="99"/>
    <w:rsid w:val="009E3612"/>
    <w:rPr>
      <w:rFonts w:ascii="Times New Roman" w:eastAsia="Times New Roman" w:hAnsi="Times New Roman" w:cs="Times New Roman"/>
      <w:sz w:val="24"/>
      <w:szCs w:val="24"/>
      <w:lang w:val="en-GB"/>
    </w:rPr>
  </w:style>
  <w:style w:type="paragraph" w:styleId="Buborkszveg">
    <w:name w:val="Balloon Text"/>
    <w:basedOn w:val="Norml"/>
    <w:link w:val="BuborkszvegChar"/>
    <w:uiPriority w:val="99"/>
    <w:semiHidden/>
    <w:unhideWhenUsed/>
    <w:rsid w:val="009E3612"/>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3612"/>
    <w:rPr>
      <w:rFonts w:ascii="Tahoma" w:eastAsia="Times New Roman" w:hAnsi="Tahoma" w:cs="Tahoma"/>
      <w:sz w:val="16"/>
      <w:szCs w:val="16"/>
      <w:lang w:val="en-GB"/>
    </w:rPr>
  </w:style>
  <w:style w:type="paragraph" w:styleId="Listaszerbekezds">
    <w:name w:val="List Paragraph"/>
    <w:basedOn w:val="Norml"/>
    <w:uiPriority w:val="34"/>
    <w:qFormat/>
    <w:rsid w:val="00F006F5"/>
    <w:pPr>
      <w:ind w:left="720"/>
      <w:contextualSpacing/>
    </w:pPr>
  </w:style>
  <w:style w:type="character" w:styleId="Hiperhivatkozs">
    <w:name w:val="Hyperlink"/>
    <w:basedOn w:val="Bekezdsalapbettpusa"/>
    <w:uiPriority w:val="99"/>
    <w:unhideWhenUsed/>
    <w:rsid w:val="00DE5E18"/>
    <w:rPr>
      <w:color w:val="0000FF" w:themeColor="hyperlink"/>
      <w:u w:val="single"/>
    </w:rPr>
  </w:style>
  <w:style w:type="character" w:customStyle="1" w:styleId="apple-converted-space">
    <w:name w:val="apple-converted-space"/>
    <w:basedOn w:val="Bekezdsalapbettpusa"/>
    <w:rsid w:val="00CB0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612"/>
    <w:pPr>
      <w:spacing w:before="120" w:after="0" w:line="240" w:lineRule="auto"/>
      <w:jc w:val="both"/>
    </w:pPr>
    <w:rPr>
      <w:rFonts w:ascii="Times New Roman" w:eastAsia="Times New Roman" w:hAnsi="Times New Roman" w:cs="Times New Roman"/>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ncoNetHeading2">
    <w:name w:val="IncoNet Heading 2"/>
    <w:basedOn w:val="Norml"/>
    <w:qFormat/>
    <w:rsid w:val="009E3612"/>
    <w:pPr>
      <w:keepNext/>
      <w:numPr>
        <w:numId w:val="1"/>
      </w:numPr>
      <w:spacing w:before="240" w:after="120"/>
      <w:outlineLvl w:val="0"/>
    </w:pPr>
    <w:rPr>
      <w:rFonts w:cs="Arial"/>
      <w:b/>
      <w:bCs/>
      <w:color w:val="C45911"/>
      <w:kern w:val="32"/>
      <w:sz w:val="28"/>
      <w:szCs w:val="32"/>
    </w:rPr>
  </w:style>
  <w:style w:type="paragraph" w:styleId="lfej">
    <w:name w:val="header"/>
    <w:basedOn w:val="Norml"/>
    <w:link w:val="lfejChar"/>
    <w:uiPriority w:val="99"/>
    <w:unhideWhenUsed/>
    <w:rsid w:val="009E3612"/>
    <w:pPr>
      <w:tabs>
        <w:tab w:val="center" w:pos="4703"/>
        <w:tab w:val="right" w:pos="9406"/>
      </w:tabs>
      <w:spacing w:before="0"/>
    </w:pPr>
  </w:style>
  <w:style w:type="character" w:customStyle="1" w:styleId="lfejChar">
    <w:name w:val="Élőfej Char"/>
    <w:basedOn w:val="Bekezdsalapbettpusa"/>
    <w:link w:val="lfej"/>
    <w:uiPriority w:val="99"/>
    <w:rsid w:val="009E3612"/>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9E3612"/>
    <w:pPr>
      <w:tabs>
        <w:tab w:val="center" w:pos="4703"/>
        <w:tab w:val="right" w:pos="9406"/>
      </w:tabs>
      <w:spacing w:before="0"/>
    </w:pPr>
  </w:style>
  <w:style w:type="character" w:customStyle="1" w:styleId="llbChar">
    <w:name w:val="Élőláb Char"/>
    <w:basedOn w:val="Bekezdsalapbettpusa"/>
    <w:link w:val="llb"/>
    <w:uiPriority w:val="99"/>
    <w:rsid w:val="009E3612"/>
    <w:rPr>
      <w:rFonts w:ascii="Times New Roman" w:eastAsia="Times New Roman" w:hAnsi="Times New Roman" w:cs="Times New Roman"/>
      <w:sz w:val="24"/>
      <w:szCs w:val="24"/>
      <w:lang w:val="en-GB"/>
    </w:rPr>
  </w:style>
  <w:style w:type="paragraph" w:styleId="Buborkszveg">
    <w:name w:val="Balloon Text"/>
    <w:basedOn w:val="Norml"/>
    <w:link w:val="BuborkszvegChar"/>
    <w:uiPriority w:val="99"/>
    <w:semiHidden/>
    <w:unhideWhenUsed/>
    <w:rsid w:val="009E3612"/>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3612"/>
    <w:rPr>
      <w:rFonts w:ascii="Tahoma" w:eastAsia="Times New Roman" w:hAnsi="Tahoma" w:cs="Tahoma"/>
      <w:sz w:val="16"/>
      <w:szCs w:val="16"/>
      <w:lang w:val="en-GB"/>
    </w:rPr>
  </w:style>
  <w:style w:type="paragraph" w:styleId="Listaszerbekezds">
    <w:name w:val="List Paragraph"/>
    <w:basedOn w:val="Norml"/>
    <w:uiPriority w:val="34"/>
    <w:qFormat/>
    <w:rsid w:val="00F006F5"/>
    <w:pPr>
      <w:ind w:left="720"/>
      <w:contextualSpacing/>
    </w:pPr>
  </w:style>
  <w:style w:type="character" w:styleId="Hiperhivatkozs">
    <w:name w:val="Hyperlink"/>
    <w:basedOn w:val="Bekezdsalapbettpusa"/>
    <w:uiPriority w:val="99"/>
    <w:unhideWhenUsed/>
    <w:rsid w:val="00DE5E18"/>
    <w:rPr>
      <w:color w:val="0000FF" w:themeColor="hyperlink"/>
      <w:u w:val="single"/>
    </w:rPr>
  </w:style>
  <w:style w:type="character" w:customStyle="1" w:styleId="apple-converted-space">
    <w:name w:val="apple-converted-space"/>
    <w:basedOn w:val="Bekezdsalapbettpusa"/>
    <w:rsid w:val="00CB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2match.eu/energy-csa-2016" TargetMode="External"/><Relationship Id="rId13" Type="http://schemas.openxmlformats.org/officeDocument/2006/relationships/hyperlink" Target="http://www.b2match.eu/health-rehab201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nddays.com/route-and-conta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en.ec.europa.eu/tools/services/eve/event/listev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2match.eu/geothermal2016" TargetMode="External"/><Relationship Id="rId5" Type="http://schemas.openxmlformats.org/officeDocument/2006/relationships/webSettings" Target="webSettings.xml"/><Relationship Id="rId15" Type="http://schemas.openxmlformats.org/officeDocument/2006/relationships/hyperlink" Target="http://www.ehealthweek.org/ehome/128630/eHealth-week-2016/?&amp;" TargetMode="External"/><Relationship Id="rId10" Type="http://schemas.openxmlformats.org/officeDocument/2006/relationships/hyperlink" Target="https://www.b2match.eu/e2tech4cities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rbanenergytransition.nl/en/visitor-matchmaking.html" TargetMode="External"/><Relationship Id="rId14" Type="http://schemas.openxmlformats.org/officeDocument/2006/relationships/hyperlink" Target="https://www.b2match.eu/biomedica20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1599</Words>
  <Characters>11039</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rcisd</dc:creator>
  <cp:lastModifiedBy>Dorogi Ildi</cp:lastModifiedBy>
  <cp:revision>4</cp:revision>
  <dcterms:created xsi:type="dcterms:W3CDTF">2016-03-03T14:20:00Z</dcterms:created>
  <dcterms:modified xsi:type="dcterms:W3CDTF">2016-03-10T11:15:00Z</dcterms:modified>
</cp:coreProperties>
</file>